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96" w:rsidRPr="004E6E1F" w:rsidRDefault="00A10896" w:rsidP="00A10896">
      <w:pPr>
        <w:pStyle w:val="10"/>
        <w:keepNext/>
        <w:keepLines/>
        <w:shd w:val="clear" w:color="auto" w:fill="auto"/>
        <w:spacing w:after="320"/>
        <w:ind w:firstLine="0"/>
        <w:jc w:val="center"/>
        <w:rPr>
          <w:rFonts w:ascii="PT Astra Serif" w:hAnsi="PT Astra Serif"/>
        </w:rPr>
      </w:pPr>
      <w:bookmarkStart w:id="0" w:name="bookmark0"/>
      <w:r w:rsidRPr="004E6E1F">
        <w:rPr>
          <w:rFonts w:ascii="PT Astra Serif" w:hAnsi="PT Astra Serif"/>
          <w:color w:val="2F2F2F"/>
          <w:lang w:eastAsia="ru-RU" w:bidi="ru-RU"/>
        </w:rPr>
        <w:t xml:space="preserve">Требования, предъявляемые </w:t>
      </w:r>
      <w:r w:rsidR="00DE5953" w:rsidRPr="004E6E1F">
        <w:rPr>
          <w:rFonts w:ascii="PT Astra Serif" w:hAnsi="PT Astra Serif"/>
          <w:color w:val="2F2F2F"/>
          <w:lang w:eastAsia="ru-RU" w:bidi="ru-RU"/>
        </w:rPr>
        <w:t>к использованию</w:t>
      </w:r>
      <w:r w:rsidR="003254EF">
        <w:rPr>
          <w:rFonts w:ascii="PT Astra Serif" w:hAnsi="PT Astra Serif"/>
          <w:color w:val="2F2F2F"/>
          <w:lang w:eastAsia="ru-RU" w:bidi="ru-RU"/>
        </w:rPr>
        <w:t xml:space="preserve"> из бюджета Тульской области</w:t>
      </w:r>
      <w:r w:rsidR="00DE5953" w:rsidRPr="004E6E1F">
        <w:rPr>
          <w:rFonts w:ascii="PT Astra Serif" w:hAnsi="PT Astra Serif"/>
          <w:color w:val="2F2F2F"/>
          <w:lang w:eastAsia="ru-RU" w:bidi="ru-RU"/>
        </w:rPr>
        <w:t xml:space="preserve"> грантов</w:t>
      </w:r>
      <w:r w:rsidRPr="004E6E1F">
        <w:rPr>
          <w:rFonts w:ascii="PT Astra Serif" w:hAnsi="PT Astra Serif"/>
          <w:color w:val="2F2F2F"/>
          <w:lang w:eastAsia="ru-RU" w:bidi="ru-RU"/>
        </w:rPr>
        <w:t xml:space="preserve"> </w:t>
      </w:r>
      <w:r w:rsidR="00DE5953" w:rsidRPr="004E6E1F">
        <w:rPr>
          <w:rFonts w:ascii="PT Astra Serif" w:hAnsi="PT Astra Serif"/>
          <w:color w:val="2F2F2F"/>
          <w:lang w:eastAsia="ru-RU" w:bidi="ru-RU"/>
        </w:rPr>
        <w:t xml:space="preserve">в форме субсидий </w:t>
      </w:r>
      <w:bookmarkEnd w:id="0"/>
      <w:r w:rsidR="00DE5953" w:rsidRPr="004E6E1F">
        <w:rPr>
          <w:rFonts w:ascii="PT Astra Serif" w:hAnsi="PT Astra Serif"/>
          <w:color w:val="000000"/>
          <w:shd w:val="clear" w:color="auto" w:fill="FFFFFF"/>
        </w:rPr>
        <w:t>социально- ориентированным некоммерческим организациям</w:t>
      </w:r>
      <w:r w:rsidR="003254EF">
        <w:rPr>
          <w:rFonts w:ascii="PT Astra Serif" w:hAnsi="PT Astra Serif"/>
          <w:color w:val="000000"/>
          <w:shd w:val="clear" w:color="auto" w:fill="FFFFFF"/>
        </w:rPr>
        <w:t xml:space="preserve"> Тульской области на реализацию общественно полезных проектов</w:t>
      </w:r>
    </w:p>
    <w:p w:rsidR="00A10896" w:rsidRPr="004E6E1F" w:rsidRDefault="00A10896" w:rsidP="00A10896">
      <w:pPr>
        <w:pStyle w:val="11"/>
        <w:numPr>
          <w:ilvl w:val="0"/>
          <w:numId w:val="1"/>
        </w:numPr>
        <w:shd w:val="clear" w:color="auto" w:fill="auto"/>
        <w:tabs>
          <w:tab w:val="left" w:pos="3883"/>
        </w:tabs>
        <w:spacing w:after="320"/>
        <w:ind w:left="3520" w:firstLine="0"/>
        <w:jc w:val="left"/>
        <w:rPr>
          <w:rFonts w:ascii="PT Astra Serif" w:hAnsi="PT Astra Serif"/>
        </w:rPr>
      </w:pPr>
      <w:r w:rsidRPr="004E6E1F">
        <w:rPr>
          <w:rFonts w:ascii="PT Astra Serif" w:hAnsi="PT Astra Serif"/>
          <w:color w:val="2F2F2F"/>
          <w:lang w:eastAsia="ru-RU" w:bidi="ru-RU"/>
        </w:rPr>
        <w:t>Общие требования к осуществлению расходов за счет гранта</w:t>
      </w:r>
    </w:p>
    <w:p w:rsidR="00A10896" w:rsidRPr="004E6E1F" w:rsidRDefault="00A10896" w:rsidP="00A10896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1. Расходы должны осуществляться в соответствии с</w:t>
      </w:r>
      <w:r w:rsidR="00784D0C" w:rsidRPr="004E6E1F">
        <w:rPr>
          <w:rFonts w:ascii="PT Astra Serif" w:hAnsi="PT Astra Serif"/>
          <w:color w:val="000000"/>
          <w:lang w:eastAsia="ru-RU" w:bidi="ru-RU"/>
        </w:rPr>
        <w:t>о сметой</w:t>
      </w:r>
      <w:r w:rsidRPr="004E6E1F">
        <w:rPr>
          <w:rFonts w:ascii="PT Astra Serif" w:hAnsi="PT Astra Serif"/>
          <w:color w:val="000000"/>
          <w:lang w:eastAsia="ru-RU" w:bidi="ru-RU"/>
        </w:rPr>
        <w:t xml:space="preserve"> проекта.</w:t>
      </w:r>
    </w:p>
    <w:p w:rsidR="00A10896" w:rsidRPr="004E6E1F" w:rsidRDefault="00A10896" w:rsidP="00A10896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Распределение расходов по статьям расходов определяется в соответствии с разделом </w:t>
      </w:r>
      <w:r w:rsidRPr="004E6E1F">
        <w:rPr>
          <w:rFonts w:ascii="PT Astra Serif" w:hAnsi="PT Astra Serif"/>
          <w:color w:val="000000"/>
          <w:lang w:val="en-US" w:bidi="en-US"/>
        </w:rPr>
        <w:t>III</w:t>
      </w:r>
      <w:r w:rsidRPr="004E6E1F">
        <w:rPr>
          <w:rFonts w:ascii="PT Astra Serif" w:hAnsi="PT Astra Serif"/>
          <w:color w:val="000000"/>
          <w:lang w:bidi="en-US"/>
        </w:rPr>
        <w:t xml:space="preserve"> </w:t>
      </w:r>
      <w:r w:rsidRPr="004E6E1F">
        <w:rPr>
          <w:rFonts w:ascii="PT Astra Serif" w:hAnsi="PT Astra Serif"/>
          <w:color w:val="000000"/>
          <w:lang w:eastAsia="ru-RU" w:bidi="ru-RU"/>
        </w:rPr>
        <w:t>настоящего документа.</w:t>
      </w:r>
    </w:p>
    <w:p w:rsidR="008413C1" w:rsidRPr="004E6E1F" w:rsidRDefault="00A10896" w:rsidP="008413C1">
      <w:pPr>
        <w:pStyle w:val="11"/>
        <w:numPr>
          <w:ilvl w:val="0"/>
          <w:numId w:val="2"/>
        </w:numPr>
        <w:shd w:val="clear" w:color="auto" w:fill="auto"/>
        <w:tabs>
          <w:tab w:val="left" w:pos="1424"/>
        </w:tabs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При использовании гранта необходимо руководствоваться принципом экономного и результативного расходования полученных средств.</w:t>
      </w:r>
    </w:p>
    <w:p w:rsidR="008413C1" w:rsidRDefault="008413C1" w:rsidP="008413C1">
      <w:pPr>
        <w:pStyle w:val="11"/>
        <w:numPr>
          <w:ilvl w:val="0"/>
          <w:numId w:val="2"/>
        </w:numPr>
        <w:shd w:val="clear" w:color="auto" w:fill="auto"/>
        <w:tabs>
          <w:tab w:val="left" w:pos="1424"/>
        </w:tabs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</w:rPr>
        <w:t>СО НКО запрещается осуществлять за счет предоставленных грантов следующие виды расходов: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расходы, не связанные с реализацией общественно полезного проекта, указанного в соглашении;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 на поддержку политических партий и предвыборных кампаний;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 на проведение митингов, демонстраций, пикетирований;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 на уплату штрафов;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 на приобретение объектов недвижимости, капитальный ремонт, капитальное строительство;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 на получение кредитов и займов;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погашение задолженности СО НКО;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расходы на приобретение алкогольной, табачной и аналогичной продукции, а также товаров, которые являются предметом роскоши.</w:t>
      </w:r>
    </w:p>
    <w:p w:rsidR="00CE2269" w:rsidRPr="00CE2269" w:rsidRDefault="00CE2269" w:rsidP="00CE2269">
      <w:pPr>
        <w:pStyle w:val="11"/>
        <w:tabs>
          <w:tab w:val="left" w:pos="1424"/>
        </w:tabs>
        <w:ind w:left="720"/>
        <w:rPr>
          <w:rFonts w:ascii="PT Astra Serif" w:hAnsi="PT Astra Serif"/>
        </w:rPr>
      </w:pPr>
      <w:r w:rsidRPr="00CE2269">
        <w:rPr>
          <w:rFonts w:ascii="PT Astra Serif" w:hAnsi="PT Astra Serif"/>
        </w:rPr>
        <w:t>Получателям гранта запрещается направлять расходы, источником финансового обеспечения является грант,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определенным настоящим Порядком.</w:t>
      </w:r>
    </w:p>
    <w:p w:rsidR="00CE2269" w:rsidRDefault="00CE2269" w:rsidP="00CE2269">
      <w:pPr>
        <w:pStyle w:val="11"/>
        <w:shd w:val="clear" w:color="auto" w:fill="auto"/>
        <w:tabs>
          <w:tab w:val="left" w:pos="1424"/>
        </w:tabs>
        <w:rPr>
          <w:rFonts w:ascii="PT Astra Serif" w:hAnsi="PT Astra Serif"/>
        </w:rPr>
      </w:pPr>
    </w:p>
    <w:p w:rsidR="00CE2269" w:rsidRDefault="00CE2269" w:rsidP="00CE2269">
      <w:pPr>
        <w:pStyle w:val="11"/>
        <w:shd w:val="clear" w:color="auto" w:fill="auto"/>
        <w:tabs>
          <w:tab w:val="left" w:pos="1424"/>
        </w:tabs>
        <w:rPr>
          <w:rFonts w:ascii="PT Astra Serif" w:hAnsi="PT Astra Serif"/>
        </w:rPr>
      </w:pPr>
      <w:r w:rsidRPr="00CE2269">
        <w:rPr>
          <w:rFonts w:ascii="PT Astra Serif" w:hAnsi="PT Astra Serif"/>
        </w:rPr>
        <w:t xml:space="preserve">Имущество, приобретенное за счет гранта, не подлежит продаже, дарению, передаче в аренду, пользование другим </w:t>
      </w:r>
      <w:r w:rsidRPr="00CE2269">
        <w:rPr>
          <w:rFonts w:ascii="PT Astra Serif" w:hAnsi="PT Astra Serif"/>
        </w:rPr>
        <w:lastRenderedPageBreak/>
        <w:t>лицам, обмену или взносу в виде пая, вклада или отчуждению иным образом в течение пяти лет со дня получения гранта.</w:t>
      </w:r>
    </w:p>
    <w:p w:rsidR="00CE2269" w:rsidRPr="004E6E1F" w:rsidRDefault="00CE2269" w:rsidP="00CE2269">
      <w:pPr>
        <w:pStyle w:val="11"/>
        <w:shd w:val="clear" w:color="auto" w:fill="auto"/>
        <w:tabs>
          <w:tab w:val="left" w:pos="1424"/>
        </w:tabs>
        <w:rPr>
          <w:rFonts w:ascii="PT Astra Serif" w:hAnsi="PT Astra Serif"/>
        </w:rPr>
      </w:pPr>
      <w:r w:rsidRPr="00CE2269">
        <w:rPr>
          <w:rFonts w:ascii="PT Astra Serif" w:hAnsi="PT Astra Serif"/>
        </w:rPr>
        <w:t>Гранты не предоставляются на реализацию проектов, содержащих элементы экстремистской деятельности и/или направленных на изменение основ государственного строя Российской Федерации, направленных на поддержку и/или участие в предвыборных кампаниях, имеющих целью извлечение прибыли, предусматривающих предоставление грантов и/или иных безвозмездных целевых поступлений (пожертвований, средств на осуществление благотворительной деятельности и др.) другим организациям.</w:t>
      </w:r>
    </w:p>
    <w:p w:rsidR="00A10896" w:rsidRPr="004E6E1F" w:rsidRDefault="00A10896" w:rsidP="00A10896">
      <w:pPr>
        <w:pStyle w:val="11"/>
        <w:numPr>
          <w:ilvl w:val="0"/>
          <w:numId w:val="2"/>
        </w:numPr>
        <w:shd w:val="clear" w:color="auto" w:fill="auto"/>
        <w:tabs>
          <w:tab w:val="left" w:pos="1424"/>
        </w:tabs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Не допускается размещение гранта в срочных инструментах, включая депозиты (вклады), начисление процентов на остаток (неснижаемый остаток) на банковском счете.</w:t>
      </w:r>
    </w:p>
    <w:p w:rsidR="00A10896" w:rsidRPr="004E6E1F" w:rsidRDefault="00A10896" w:rsidP="00215EBE">
      <w:pPr>
        <w:pStyle w:val="11"/>
        <w:numPr>
          <w:ilvl w:val="0"/>
          <w:numId w:val="2"/>
        </w:numPr>
        <w:shd w:val="clear" w:color="auto" w:fill="auto"/>
        <w:tabs>
          <w:tab w:val="left" w:pos="1424"/>
        </w:tabs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Рекомендуется минимизировать оплату оборудования, иного имущества, услуг (кроме услуг, связанных с командировками) за наличный расчет или с использованием банковских карт работников. Такие формы расчетов могут быть признаны допустимыми лишь в крайних случаях, например, необходимо срочно закупить расходные материалы,</w:t>
      </w:r>
    </w:p>
    <w:p w:rsidR="00A10896" w:rsidRPr="004E6E1F" w:rsidRDefault="00A10896" w:rsidP="00215EBE">
      <w:pPr>
        <w:pStyle w:val="11"/>
        <w:shd w:val="clear" w:color="auto" w:fill="auto"/>
        <w:ind w:firstLine="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канцелярские товары, продукты питания для кофе-брейка, оплатить оперативно оказываемые услуги</w:t>
      </w:r>
      <w:r w:rsidR="00784D0C" w:rsidRPr="004E6E1F">
        <w:rPr>
          <w:rFonts w:ascii="PT Astra Serif" w:hAnsi="PT Astra Serif"/>
          <w:color w:val="000000"/>
          <w:lang w:eastAsia="ru-RU" w:bidi="ru-RU"/>
        </w:rPr>
        <w:t xml:space="preserve"> (только при согласовании с Оператором грантов)</w:t>
      </w:r>
      <w:r w:rsidRPr="004E6E1F">
        <w:rPr>
          <w:rFonts w:ascii="PT Astra Serif" w:hAnsi="PT Astra Serif"/>
          <w:color w:val="000000"/>
          <w:lang w:eastAsia="ru-RU" w:bidi="ru-RU"/>
        </w:rPr>
        <w:t>. Рекомендуемый</w:t>
      </w:r>
      <w:r w:rsidR="00784D0C" w:rsidRPr="004E6E1F">
        <w:rPr>
          <w:rFonts w:ascii="PT Astra Serif" w:hAnsi="PT Astra Serif"/>
        </w:rPr>
        <w:t xml:space="preserve"> </w:t>
      </w:r>
      <w:r w:rsidRPr="004E6E1F">
        <w:rPr>
          <w:rFonts w:ascii="PT Astra Serif" w:hAnsi="PT Astra Serif"/>
          <w:color w:val="000000"/>
          <w:lang w:eastAsia="ru-RU" w:bidi="ru-RU"/>
        </w:rPr>
        <w:t>максимальный лимит для таких операций - 10 тысяч рублей.</w:t>
      </w:r>
    </w:p>
    <w:p w:rsidR="00A10896" w:rsidRPr="004E6E1F" w:rsidRDefault="00A10896" w:rsidP="00215EBE">
      <w:pPr>
        <w:pStyle w:val="11"/>
        <w:numPr>
          <w:ilvl w:val="0"/>
          <w:numId w:val="2"/>
        </w:numPr>
        <w:shd w:val="clear" w:color="auto" w:fill="auto"/>
        <w:tabs>
          <w:tab w:val="left" w:pos="1421"/>
        </w:tabs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Категорически не рекомендуется оплачивать за счет гранта услуги, являющиеся, по сути, посредническими, например, услуги по размещению в гостиницах, по организации перевозки пассажиров, за исключением случаев, когда использование таких услуг экономически и организационно оправданно и обязательно подразумевает указание размера комиссии (посреднического вознаграждения).</w:t>
      </w:r>
    </w:p>
    <w:p w:rsidR="00A10896" w:rsidRPr="004E6E1F" w:rsidRDefault="00A10896" w:rsidP="00215EBE">
      <w:pPr>
        <w:pStyle w:val="11"/>
        <w:shd w:val="clear" w:color="auto" w:fill="auto"/>
        <w:ind w:firstLine="720"/>
        <w:rPr>
          <w:rFonts w:ascii="PT Astra Serif" w:hAnsi="PT Astra Serif"/>
          <w:color w:val="000000"/>
          <w:lang w:eastAsia="ru-RU" w:bidi="ru-RU"/>
        </w:rPr>
      </w:pPr>
      <w:r w:rsidRPr="004E6E1F">
        <w:rPr>
          <w:rFonts w:ascii="PT Astra Serif" w:hAnsi="PT Astra Serif"/>
          <w:color w:val="000000"/>
          <w:lang w:eastAsia="ru-RU" w:bidi="ru-RU"/>
        </w:rPr>
        <w:t>Допускается работа с общеизвестными операторами, оказывающими услуги по оформлению проездных документов и бронированию мест проживания.</w:t>
      </w:r>
    </w:p>
    <w:p w:rsidR="008413C1" w:rsidRPr="004E6E1F" w:rsidRDefault="008413C1" w:rsidP="00215EBE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6E1F">
        <w:rPr>
          <w:rFonts w:ascii="PT Astra Serif" w:hAnsi="PT Astra Serif" w:cs="Times New Roman"/>
          <w:b/>
          <w:bCs/>
          <w:sz w:val="28"/>
          <w:szCs w:val="28"/>
        </w:rPr>
        <w:t xml:space="preserve">7. </w:t>
      </w:r>
      <w:r w:rsidRPr="004E6E1F">
        <w:rPr>
          <w:rFonts w:ascii="PT Astra Serif" w:hAnsi="PT Astra Serif" w:cs="Times New Roman"/>
          <w:bCs/>
          <w:sz w:val="28"/>
          <w:szCs w:val="28"/>
        </w:rPr>
        <w:t>Не рекомендуется</w:t>
      </w:r>
      <w:r w:rsidRPr="004E6E1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4E6E1F">
        <w:rPr>
          <w:rFonts w:ascii="PT Astra Serif" w:hAnsi="PT Astra Serif" w:cs="Times New Roman"/>
          <w:sz w:val="28"/>
          <w:szCs w:val="28"/>
        </w:rPr>
        <w:t>предусматривать использование гранта на осуществление следующих расходов:</w:t>
      </w:r>
    </w:p>
    <w:p w:rsidR="008413C1" w:rsidRPr="004E6E1F" w:rsidRDefault="008413C1" w:rsidP="00215EBE">
      <w:pPr>
        <w:pStyle w:val="11"/>
        <w:shd w:val="clear" w:color="auto" w:fill="auto"/>
        <w:contextualSpacing/>
        <w:rPr>
          <w:rFonts w:ascii="PT Astra Serif" w:hAnsi="PT Astra Serif"/>
        </w:rPr>
      </w:pPr>
      <w:r w:rsidRPr="004E6E1F">
        <w:rPr>
          <w:rFonts w:ascii="PT Astra Serif" w:eastAsia="Courier New" w:hAnsi="PT Astra Serif" w:cs="Courier New"/>
          <w:lang w:bidi="en-US"/>
        </w:rPr>
        <w:t xml:space="preserve">- </w:t>
      </w:r>
      <w:r w:rsidRPr="004E6E1F">
        <w:rPr>
          <w:rFonts w:ascii="PT Astra Serif" w:hAnsi="PT Astra Serif"/>
        </w:rPr>
        <w:t xml:space="preserve">расходов на рекламу, в том числе продвижение сайтов, групп в социальных сетях, публикации в электронных и печатных средствах массовой информации, плату за размещение </w:t>
      </w:r>
      <w:proofErr w:type="spellStart"/>
      <w:r w:rsidRPr="004E6E1F">
        <w:rPr>
          <w:rFonts w:ascii="PT Astra Serif" w:hAnsi="PT Astra Serif"/>
        </w:rPr>
        <w:t>билбордов</w:t>
      </w:r>
      <w:proofErr w:type="spellEnd"/>
      <w:r w:rsidRPr="004E6E1F">
        <w:rPr>
          <w:rFonts w:ascii="PT Astra Serif" w:hAnsi="PT Astra Serif"/>
        </w:rPr>
        <w:t xml:space="preserve"> и баннеров;</w:t>
      </w:r>
    </w:p>
    <w:p w:rsidR="008413C1" w:rsidRPr="004E6E1F" w:rsidRDefault="008413C1" w:rsidP="00215EBE">
      <w:pPr>
        <w:pStyle w:val="11"/>
        <w:shd w:val="clear" w:color="auto" w:fill="auto"/>
        <w:contextualSpacing/>
        <w:rPr>
          <w:rFonts w:ascii="PT Astra Serif" w:hAnsi="PT Astra Serif"/>
        </w:rPr>
      </w:pPr>
      <w:r w:rsidRPr="004E6E1F">
        <w:rPr>
          <w:rFonts w:ascii="PT Astra Serif" w:eastAsia="Courier New" w:hAnsi="PT Astra Serif" w:cs="Courier New"/>
          <w:lang w:bidi="en-US"/>
        </w:rPr>
        <w:t xml:space="preserve">- </w:t>
      </w:r>
      <w:r w:rsidRPr="004E6E1F">
        <w:rPr>
          <w:rFonts w:ascii="PT Astra Serif" w:hAnsi="PT Astra Serif"/>
        </w:rPr>
        <w:t xml:space="preserve">расходов на </w:t>
      </w:r>
      <w:proofErr w:type="spellStart"/>
      <w:r w:rsidRPr="004E6E1F">
        <w:rPr>
          <w:rFonts w:ascii="PT Astra Serif" w:hAnsi="PT Astra Serif"/>
        </w:rPr>
        <w:t>регрантинг</w:t>
      </w:r>
      <w:proofErr w:type="spellEnd"/>
      <w:r w:rsidRPr="004E6E1F">
        <w:rPr>
          <w:rFonts w:ascii="PT Astra Serif" w:hAnsi="PT Astra Serif"/>
        </w:rPr>
        <w:t>, в том числе предоставление грантов, премий, благотворительные пожертвования в денежной форме;</w:t>
      </w:r>
    </w:p>
    <w:p w:rsidR="008413C1" w:rsidRPr="004E6E1F" w:rsidRDefault="008413C1" w:rsidP="00215EBE">
      <w:pPr>
        <w:pStyle w:val="11"/>
        <w:shd w:val="clear" w:color="auto" w:fill="auto"/>
        <w:contextualSpacing/>
        <w:rPr>
          <w:rFonts w:ascii="PT Astra Serif" w:hAnsi="PT Astra Serif"/>
        </w:rPr>
      </w:pPr>
      <w:r w:rsidRPr="004E6E1F">
        <w:rPr>
          <w:rFonts w:ascii="PT Astra Serif" w:eastAsia="Courier New" w:hAnsi="PT Astra Serif" w:cs="Courier New"/>
          <w:lang w:bidi="en-US"/>
        </w:rPr>
        <w:t xml:space="preserve">- </w:t>
      </w:r>
      <w:r w:rsidRPr="004E6E1F">
        <w:rPr>
          <w:rFonts w:ascii="PT Astra Serif" w:hAnsi="PT Astra Serif"/>
        </w:rPr>
        <w:t>расходов на приобретение призов стоимостью более 3000 рублей, подарков;</w:t>
      </w:r>
    </w:p>
    <w:p w:rsidR="008413C1" w:rsidRPr="004E6E1F" w:rsidRDefault="008413C1" w:rsidP="00215EBE">
      <w:pPr>
        <w:pStyle w:val="11"/>
        <w:shd w:val="clear" w:color="auto" w:fill="auto"/>
        <w:contextualSpacing/>
        <w:rPr>
          <w:rFonts w:ascii="PT Astra Serif" w:hAnsi="PT Astra Serif"/>
        </w:rPr>
      </w:pPr>
      <w:r w:rsidRPr="004E6E1F">
        <w:rPr>
          <w:rFonts w:ascii="PT Astra Serif" w:hAnsi="PT Astra Serif"/>
        </w:rPr>
        <w:t>- расходов на приобретение продуктов питания с целью их раздачи в виде материальной (благотворительной) помощи;</w:t>
      </w:r>
    </w:p>
    <w:p w:rsidR="008413C1" w:rsidRPr="004E6E1F" w:rsidRDefault="008413C1" w:rsidP="00215EBE">
      <w:pPr>
        <w:pStyle w:val="11"/>
        <w:shd w:val="clear" w:color="auto" w:fill="auto"/>
        <w:contextualSpacing/>
        <w:jc w:val="left"/>
        <w:rPr>
          <w:rFonts w:ascii="PT Astra Serif" w:hAnsi="PT Astra Serif"/>
        </w:rPr>
      </w:pPr>
      <w:r w:rsidRPr="004E6E1F">
        <w:rPr>
          <w:rFonts w:ascii="PT Astra Serif" w:eastAsia="Courier New" w:hAnsi="PT Astra Serif" w:cs="Courier New"/>
          <w:lang w:bidi="en-US"/>
        </w:rPr>
        <w:t xml:space="preserve">- </w:t>
      </w:r>
      <w:r w:rsidRPr="004E6E1F">
        <w:rPr>
          <w:rFonts w:ascii="PT Astra Serif" w:hAnsi="PT Astra Serif"/>
        </w:rPr>
        <w:t>непредвиденных расходов, а также не детализированных «прочих расходов».</w:t>
      </w:r>
    </w:p>
    <w:p w:rsidR="008413C1" w:rsidRPr="004E6E1F" w:rsidRDefault="005B3235" w:rsidP="00215EBE">
      <w:pPr>
        <w:pStyle w:val="11"/>
        <w:shd w:val="clear" w:color="auto" w:fill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8. Получатель гранта при оплате расходов должен указывать в назначении платежа платежного документа «за счет средств гранта, в соответствии с соглашением №___ от____. В случае частичной оплаты за счет средств гранта в </w:t>
      </w:r>
      <w:r>
        <w:rPr>
          <w:rFonts w:ascii="PT Astra Serif" w:hAnsi="PT Astra Serif"/>
        </w:rPr>
        <w:lastRenderedPageBreak/>
        <w:t>назначении платежа платежного документа указывается «в том числе за счет средств гранта</w:t>
      </w:r>
      <w:r w:rsidRPr="005B323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соответствии с соглашением №___ от_______ (</w:t>
      </w:r>
      <w:r w:rsidRPr="005B3235">
        <w:rPr>
          <w:rFonts w:ascii="PT Astra Serif" w:hAnsi="PT Astra Serif"/>
          <w:i/>
        </w:rPr>
        <w:t>сумма</w:t>
      </w:r>
      <w:r>
        <w:rPr>
          <w:rFonts w:ascii="PT Astra Serif" w:hAnsi="PT Astra Serif"/>
        </w:rPr>
        <w:t>) рублей.</w:t>
      </w:r>
    </w:p>
    <w:p w:rsidR="00215EBE" w:rsidRDefault="00215EBE" w:rsidP="00A10896">
      <w:pPr>
        <w:pStyle w:val="11"/>
        <w:shd w:val="clear" w:color="auto" w:fill="auto"/>
        <w:spacing w:after="300"/>
        <w:ind w:firstLine="0"/>
        <w:jc w:val="center"/>
        <w:rPr>
          <w:rFonts w:ascii="PT Astra Serif" w:hAnsi="PT Astra Serif"/>
          <w:color w:val="2F2F2F"/>
          <w:lang w:bidi="en-US"/>
        </w:rPr>
      </w:pPr>
    </w:p>
    <w:p w:rsidR="00A10896" w:rsidRPr="00215EBE" w:rsidRDefault="00A10896" w:rsidP="00A10896">
      <w:pPr>
        <w:pStyle w:val="11"/>
        <w:shd w:val="clear" w:color="auto" w:fill="auto"/>
        <w:spacing w:after="300"/>
        <w:ind w:firstLine="0"/>
        <w:jc w:val="center"/>
        <w:rPr>
          <w:rFonts w:ascii="PT Astra Serif" w:hAnsi="PT Astra Serif"/>
          <w:b/>
          <w:color w:val="000000" w:themeColor="text1"/>
        </w:rPr>
      </w:pPr>
      <w:r w:rsidRPr="00215EBE">
        <w:rPr>
          <w:rFonts w:ascii="PT Astra Serif" w:hAnsi="PT Astra Serif"/>
          <w:b/>
          <w:color w:val="000000" w:themeColor="text1"/>
          <w:lang w:val="en-US" w:bidi="en-US"/>
        </w:rPr>
        <w:t>II</w:t>
      </w:r>
      <w:r w:rsidRPr="00215EBE">
        <w:rPr>
          <w:rFonts w:ascii="PT Astra Serif" w:hAnsi="PT Astra Serif"/>
          <w:b/>
          <w:color w:val="000000" w:themeColor="text1"/>
          <w:lang w:bidi="en-US"/>
        </w:rPr>
        <w:t xml:space="preserve">. </w:t>
      </w:r>
      <w:r w:rsidRPr="00215EBE">
        <w:rPr>
          <w:rFonts w:ascii="PT Astra Serif" w:hAnsi="PT Astra Serif"/>
          <w:b/>
          <w:color w:val="000000" w:themeColor="text1"/>
          <w:lang w:eastAsia="ru-RU" w:bidi="ru-RU"/>
        </w:rPr>
        <w:t>Требования к составу документов, подтверждающих целевое использование гранта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A10896" w:rsidRPr="004E6E1F" w:rsidTr="00927526">
        <w:tc>
          <w:tcPr>
            <w:tcW w:w="3114" w:type="dxa"/>
          </w:tcPr>
          <w:p w:rsidR="00A10896" w:rsidRPr="00215EBE" w:rsidRDefault="00A10896" w:rsidP="00927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Статья расходов</w:t>
            </w:r>
          </w:p>
        </w:tc>
        <w:tc>
          <w:tcPr>
            <w:tcW w:w="11446" w:type="dxa"/>
          </w:tcPr>
          <w:p w:rsidR="00A10896" w:rsidRPr="00215EBE" w:rsidRDefault="00A10896" w:rsidP="00927526">
            <w:pPr>
              <w:pStyle w:val="a6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215EBE">
              <w:rPr>
                <w:b/>
                <w:bCs/>
                <w:color w:val="000000" w:themeColor="text1"/>
                <w:lang w:eastAsia="ru-RU" w:bidi="ru-RU"/>
              </w:rPr>
              <w:t xml:space="preserve">Документы, копии которых получатель </w:t>
            </w:r>
            <w:r w:rsidR="003254EF">
              <w:rPr>
                <w:b/>
                <w:bCs/>
                <w:color w:val="000000" w:themeColor="text1"/>
                <w:lang w:eastAsia="ru-RU" w:bidi="ru-RU"/>
              </w:rPr>
              <w:t xml:space="preserve">гранта </w:t>
            </w:r>
            <w:r w:rsidRPr="00215EBE">
              <w:rPr>
                <w:b/>
                <w:bCs/>
                <w:color w:val="000000" w:themeColor="text1"/>
                <w:lang w:eastAsia="ru-RU" w:bidi="ru-RU"/>
              </w:rPr>
              <w:t>обязан представлять в ГУ ТО «Аппарат Общественной палаты Тульской области»</w:t>
            </w:r>
          </w:p>
          <w:p w:rsidR="00A10896" w:rsidRPr="00215EBE" w:rsidRDefault="00A10896" w:rsidP="00927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896" w:rsidRPr="004E6E1F" w:rsidTr="00927526">
        <w:tc>
          <w:tcPr>
            <w:tcW w:w="3114" w:type="dxa"/>
          </w:tcPr>
          <w:p w:rsidR="00A10896" w:rsidRPr="00215EBE" w:rsidRDefault="00A10896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Оплата труда</w:t>
            </w:r>
          </w:p>
        </w:tc>
        <w:tc>
          <w:tcPr>
            <w:tcW w:w="11446" w:type="dxa"/>
          </w:tcPr>
          <w:p w:rsidR="00A10896" w:rsidRPr="00215EBE" w:rsidRDefault="00A10896" w:rsidP="00927526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отношении штатных работников </w:t>
            </w:r>
            <w:proofErr w:type="spellStart"/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грантополучателя</w:t>
            </w:r>
            <w:proofErr w:type="spellEnd"/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участвующих в реализации проекта:</w:t>
            </w:r>
          </w:p>
          <w:p w:rsidR="00A10896" w:rsidRPr="00215EBE" w:rsidRDefault="00A10896" w:rsidP="00927526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договоры и, если имеются,</w:t>
            </w:r>
            <w:r w:rsidR="00390670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соглашения о внесении в них изменений;</w:t>
            </w:r>
            <w:r w:rsidR="004E6E1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10896" w:rsidRPr="00215EBE" w:rsidRDefault="00A10896" w:rsidP="00927526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если работникам, участвующим в реализации проекта, одними и теми же платежами производятся выплаты из других источников (помимо гранта)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отдельные расчетные ведомости по проекту или расчет (в произвольной форме), в котором выделяются суммы выплат работникам, производимые за счет гранта, удерживаемые из них и перечисляемые в бюджет суммы налога на доходы физических лиц, а также уплачиваемые с указанных сумм суммы страховых взносов (в части гранта).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123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приказы о приеме работников, об их переводах, о направлении в командировки, о предоставлении отпусков;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226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расчетные ведомости;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226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табели учета рабочего времени;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133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расчет страховых взносов (в произвольной форме);</w:t>
            </w:r>
          </w:p>
          <w:p w:rsidR="00927526" w:rsidRPr="00CE2269" w:rsidRDefault="00A10896" w:rsidP="00CE2269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226"/>
              </w:tabs>
              <w:spacing w:after="260"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копии документов об образовании и (или) о</w:t>
            </w:r>
            <w:r w:rsidR="00C708E8" w:rsidRPr="00215EBE">
              <w:rPr>
                <w:color w:val="000000" w:themeColor="text1"/>
                <w:lang w:eastAsia="ru-RU" w:bidi="ru-RU"/>
              </w:rPr>
              <w:t xml:space="preserve"> </w:t>
            </w:r>
            <w:r w:rsidRPr="00215EBE">
              <w:rPr>
                <w:color w:val="000000" w:themeColor="text1"/>
                <w:lang w:eastAsia="ru-RU" w:bidi="ru-RU"/>
              </w:rPr>
              <w:t xml:space="preserve">квалификации или наличии специальных знаний - при выполнении работниками трудовых функций, требующих определенной </w:t>
            </w:r>
            <w:r w:rsidRPr="00215EBE">
              <w:rPr>
                <w:color w:val="000000" w:themeColor="text1"/>
                <w:lang w:eastAsia="ru-RU" w:bidi="ru-RU"/>
              </w:rPr>
              <w:lastRenderedPageBreak/>
              <w:t>подготовки или специальных знаний.</w:t>
            </w:r>
            <w:bookmarkStart w:id="1" w:name="_GoBack"/>
            <w:bookmarkEnd w:id="1"/>
          </w:p>
          <w:p w:rsidR="00A10896" w:rsidRPr="00215EBE" w:rsidRDefault="00A10896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i/>
                <w:iCs/>
                <w:color w:val="000000" w:themeColor="text1"/>
                <w:lang w:eastAsia="ru-RU" w:bidi="ru-RU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физических лиц, работающих на основании договоров гражданско-правового характера:</w:t>
            </w:r>
          </w:p>
          <w:p w:rsidR="00C708E8" w:rsidRPr="00215EBE" w:rsidRDefault="00A10896" w:rsidP="00927526">
            <w:pPr>
              <w:pStyle w:val="a6"/>
              <w:numPr>
                <w:ilvl w:val="0"/>
                <w:numId w:val="3"/>
              </w:numPr>
              <w:shd w:val="clear" w:color="auto" w:fill="auto"/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договоры, в которых конкретизированы оказываемые услуги (выполняемые работы), а в случае, если договорами предусматривается компенсация (возмещение) расходов, связанных с исполнением договора, - указаны порядок и условия такой компенсации;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акты об оказании услуг (выполнении работ), содержащие указание на состав оказанных услуг (выполненных работ) и их стоимость.</w:t>
            </w:r>
          </w:p>
          <w:p w:rsidR="00390670" w:rsidRPr="00215EBE" w:rsidRDefault="00A10896" w:rsidP="00927526">
            <w:pPr>
              <w:pStyle w:val="a6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138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расчет страховых взносов (в произвольной форме);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138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копии документов об образовании и (или) о квалификации или наличии специальных знаний - при оказании услуг (выполнении работ), требующих определенной подготовки или специальных знаний.</w:t>
            </w:r>
          </w:p>
        </w:tc>
      </w:tr>
      <w:tr w:rsidR="00A10896" w:rsidRPr="004E6E1F" w:rsidTr="00927526">
        <w:tc>
          <w:tcPr>
            <w:tcW w:w="3114" w:type="dxa"/>
          </w:tcPr>
          <w:p w:rsidR="00A10896" w:rsidRPr="00215EBE" w:rsidRDefault="00A10896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1446" w:type="dxa"/>
          </w:tcPr>
          <w:p w:rsidR="00A10896" w:rsidRPr="00215EBE" w:rsidRDefault="00A10896" w:rsidP="00927526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236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проездные документы;</w:t>
            </w:r>
          </w:p>
          <w:p w:rsidR="00A10896" w:rsidRPr="00215EBE" w:rsidRDefault="00C708E8" w:rsidP="00927526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236"/>
                <w:tab w:val="left" w:pos="3103"/>
                <w:tab w:val="left" w:pos="4514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 xml:space="preserve">посадочные </w:t>
            </w:r>
            <w:r w:rsidR="00A10896" w:rsidRPr="00215EBE">
              <w:rPr>
                <w:color w:val="000000" w:themeColor="text1"/>
                <w:lang w:eastAsia="ru-RU" w:bidi="ru-RU"/>
              </w:rPr>
              <w:t>талоны (при пользовании воздушным транспортом);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962"/>
              </w:tabs>
              <w:spacing w:line="276" w:lineRule="auto"/>
              <w:jc w:val="left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 гостиниц (с указанием фамилий</w:t>
            </w:r>
            <w:r w:rsidR="00C708E8" w:rsidRPr="00215EBE">
              <w:rPr>
                <w:color w:val="000000" w:themeColor="text1"/>
                <w:lang w:eastAsia="ru-RU" w:bidi="ru-RU"/>
              </w:rPr>
              <w:t xml:space="preserve"> </w:t>
            </w:r>
            <w:r w:rsidRPr="00215EBE">
              <w:rPr>
                <w:color w:val="000000" w:themeColor="text1"/>
                <w:lang w:eastAsia="ru-RU" w:bidi="ru-RU"/>
              </w:rPr>
              <w:t>проживающих, сроков проживания и категорий номеров) и, при оплате проживания</w:t>
            </w:r>
            <w:r w:rsidR="00C708E8" w:rsidRPr="00215EBE">
              <w:rPr>
                <w:color w:val="000000" w:themeColor="text1"/>
                <w:lang w:eastAsia="ru-RU" w:bidi="ru-RU"/>
              </w:rPr>
              <w:t xml:space="preserve"> </w:t>
            </w:r>
            <w:r w:rsidRPr="00215EBE">
              <w:rPr>
                <w:color w:val="000000" w:themeColor="text1"/>
                <w:lang w:eastAsia="ru-RU" w:bidi="ru-RU"/>
              </w:rPr>
              <w:t>работниками, кассовые чеки и (или) квитанции.</w:t>
            </w:r>
          </w:p>
          <w:p w:rsidR="00A10896" w:rsidRPr="00215EBE" w:rsidRDefault="00A10896" w:rsidP="00927526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236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приказы о направлении в командировки;</w:t>
            </w:r>
          </w:p>
          <w:p w:rsidR="00A10896" w:rsidRPr="00215EBE" w:rsidRDefault="00C708E8" w:rsidP="00927526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236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авансовые отчеты.</w:t>
            </w:r>
          </w:p>
        </w:tc>
      </w:tr>
      <w:tr w:rsidR="00A10896" w:rsidRPr="004E6E1F" w:rsidTr="00927526">
        <w:trPr>
          <w:trHeight w:val="407"/>
        </w:trPr>
        <w:tc>
          <w:tcPr>
            <w:tcW w:w="3114" w:type="dxa"/>
          </w:tcPr>
          <w:p w:rsidR="00A10896" w:rsidRPr="00215EBE" w:rsidRDefault="00A10896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Офисные расходы</w:t>
            </w:r>
          </w:p>
        </w:tc>
        <w:tc>
          <w:tcPr>
            <w:tcW w:w="11446" w:type="dxa"/>
          </w:tcPr>
          <w:p w:rsidR="00A10896" w:rsidRPr="00215EBE" w:rsidRDefault="00A10896" w:rsidP="0092752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отношении аренды помещений:</w:t>
            </w:r>
          </w:p>
          <w:p w:rsidR="00A10896" w:rsidRPr="00215EBE" w:rsidRDefault="00A10896" w:rsidP="0092752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 аренды или субаренды (со всеми приложениями, указанными в таком договоре);</w:t>
            </w:r>
          </w:p>
          <w:p w:rsidR="00A10896" w:rsidRPr="00215EBE" w:rsidRDefault="00A10896" w:rsidP="0092752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документ, которым оформлена передача арендуемого помещения (акт приема- передачи или иной).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</w:p>
          <w:p w:rsidR="00A10896" w:rsidRPr="00215EBE" w:rsidRDefault="00A10896" w:rsidP="0092752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копия свидетельства о государственной регистрации права на помещение или выписка из единого государственного реестра недвижимости, содержащая сведения о зарегистрированных правах на помещение;</w:t>
            </w:r>
          </w:p>
          <w:p w:rsidR="00A10896" w:rsidRPr="00215EBE" w:rsidRDefault="00A10896" w:rsidP="0092752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счета, акты (если таковые предусмотрены договором аренды или субаренды).</w:t>
            </w:r>
          </w:p>
          <w:p w:rsidR="00C708E8" w:rsidRPr="00215EBE" w:rsidRDefault="00C708E8" w:rsidP="0092752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0896" w:rsidRPr="00215EBE" w:rsidRDefault="00A10896" w:rsidP="00927526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содержания арендуемых помещений:</w:t>
            </w:r>
          </w:p>
          <w:p w:rsidR="00A10896" w:rsidRPr="00215EBE" w:rsidRDefault="00C708E8" w:rsidP="00927526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65"/>
                <w:tab w:val="left" w:pos="2962"/>
                <w:tab w:val="right" w:pos="6187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договоры с </w:t>
            </w:r>
            <w:proofErr w:type="spellStart"/>
            <w:r w:rsidR="00A10896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ресурсоснабжающими</w:t>
            </w:r>
            <w:proofErr w:type="spellEnd"/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="00A10896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организациями, исполнителями эксплуатационных и коммунальных услуг (если договором аренды или субаренды не предусмотрена оплата услуг по счетам, выставляемым арендодателем);</w:t>
            </w:r>
          </w:p>
          <w:p w:rsidR="00A10896" w:rsidRPr="00215EBE" w:rsidRDefault="00A10896" w:rsidP="00927526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65"/>
              </w:tabs>
              <w:spacing w:after="260"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счета, акты.</w:t>
            </w:r>
          </w:p>
          <w:p w:rsidR="00A10896" w:rsidRPr="00215EBE" w:rsidRDefault="00A10896" w:rsidP="00927526">
            <w:pPr>
              <w:pStyle w:val="20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В отношении приобретения оборудования, мебели:</w:t>
            </w:r>
          </w:p>
          <w:p w:rsidR="00A10896" w:rsidRPr="00215EBE" w:rsidRDefault="00A10896" w:rsidP="00927526">
            <w:pPr>
              <w:pStyle w:val="20"/>
              <w:numPr>
                <w:ilvl w:val="0"/>
                <w:numId w:val="7"/>
              </w:numPr>
              <w:shd w:val="clear" w:color="auto" w:fill="auto"/>
              <w:spacing w:line="276" w:lineRule="auto"/>
              <w:ind w:right="2100"/>
              <w:jc w:val="left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товарные накладные; </w:t>
            </w:r>
          </w:p>
          <w:p w:rsidR="00A10896" w:rsidRPr="00215EBE" w:rsidRDefault="00A10896" w:rsidP="00927526">
            <w:pPr>
              <w:pStyle w:val="20"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кассовые и (или) товарные чеки* (по оборудованию, мебели, приобретенным работниками </w:t>
            </w:r>
            <w:proofErr w:type="spellStart"/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грантополучателя</w:t>
            </w:r>
            <w:proofErr w:type="spellEnd"/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 с последующим представлением авансового отчета).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165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договоры с поставщиками (если заключаются);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165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счета;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165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товарные накладные;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16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ru-RU" w:bidi="ru-RU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счета-фактуры (если подлежат выставлению).</w:t>
            </w:r>
          </w:p>
          <w:p w:rsidR="00EC362A" w:rsidRPr="00215EBE" w:rsidRDefault="00EC362A" w:rsidP="00927526">
            <w:pPr>
              <w:pStyle w:val="20"/>
              <w:shd w:val="clear" w:color="auto" w:fill="auto"/>
              <w:tabs>
                <w:tab w:val="left" w:pos="1165"/>
              </w:tabs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BE0DAB" w:rsidRPr="00215EBE" w:rsidRDefault="00BE0DAB" w:rsidP="00927526">
            <w:pPr>
              <w:pStyle w:val="20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В отношении приобретения программного обеспечения: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165"/>
              </w:tabs>
              <w:spacing w:line="276" w:lineRule="auto"/>
              <w:ind w:left="714" w:hanging="357"/>
              <w:contextualSpacing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лицензионные или иные договоры;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165"/>
              </w:tabs>
              <w:spacing w:after="260" w:line="276" w:lineRule="auto"/>
              <w:ind w:left="714" w:hanging="357"/>
              <w:contextualSpacing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накладные или акты на предоставленные права использования программного обеспечения (лицензии, экземпляры программного обеспечения).</w:t>
            </w:r>
          </w:p>
          <w:p w:rsidR="00BE0DAB" w:rsidRPr="00215EBE" w:rsidRDefault="004B525F" w:rsidP="0092752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165"/>
              </w:tabs>
              <w:spacing w:after="260" w:line="276" w:lineRule="auto"/>
              <w:ind w:left="714" w:hanging="357"/>
              <w:contextualSpacing/>
              <w:rPr>
                <w:color w:val="000000" w:themeColor="text1"/>
                <w:sz w:val="28"/>
                <w:szCs w:val="28"/>
                <w:lang w:eastAsia="ru-RU" w:bidi="ru-RU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накладные</w:t>
            </w:r>
            <w:r w:rsidR="00BE0DAB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 или акты на предоставленные права использования программного </w:t>
            </w:r>
            <w:r w:rsidR="00EC362A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обеспечения (лицензии</w:t>
            </w:r>
            <w:r w:rsidR="00BE0DAB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, экземпляры программного обеспечения)</w:t>
            </w:r>
          </w:p>
          <w:p w:rsidR="004E6E1F" w:rsidRPr="00215EBE" w:rsidRDefault="00BE0DAB" w:rsidP="00927526">
            <w:pPr>
              <w:pStyle w:val="20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В отношении услуг по ремонту оборудования, мебели:</w:t>
            </w:r>
          </w:p>
          <w:p w:rsidR="004E6E1F" w:rsidRPr="00215EBE" w:rsidRDefault="004B525F" w:rsidP="00927526">
            <w:pPr>
              <w:pStyle w:val="2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договоры</w:t>
            </w:r>
            <w:r w:rsidR="00BE0DAB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 с исполнителями услуг;</w:t>
            </w:r>
          </w:p>
          <w:p w:rsidR="00BE0DAB" w:rsidRPr="00215EBE" w:rsidRDefault="004B525F" w:rsidP="00927526">
            <w:pPr>
              <w:pStyle w:val="2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счета</w:t>
            </w:r>
            <w:r w:rsidR="00BE0DAB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, акты;</w:t>
            </w:r>
          </w:p>
          <w:p w:rsidR="004E6E1F" w:rsidRPr="00215EBE" w:rsidRDefault="00BE0DAB" w:rsidP="00927526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авансовые отчеты, кассовые чеки и (или) квитанции (по услугам, оплаченным работниками</w:t>
            </w:r>
            <w:r w:rsidRPr="00215EBE">
              <w:rPr>
                <w:color w:val="000000" w:themeColor="text1"/>
              </w:rPr>
              <w:br w:type="page"/>
              <w:t xml:space="preserve"> </w:t>
            </w:r>
            <w:proofErr w:type="spellStart"/>
            <w:r w:rsidRPr="00215EBE">
              <w:rPr>
                <w:color w:val="000000" w:themeColor="text1"/>
                <w:lang w:eastAsia="ru-RU" w:bidi="ru-RU"/>
              </w:rPr>
              <w:t>грантополучателя</w:t>
            </w:r>
            <w:proofErr w:type="spellEnd"/>
            <w:r w:rsidRPr="00215EBE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авансового отчета);</w:t>
            </w:r>
          </w:p>
          <w:p w:rsidR="00BE0DAB" w:rsidRPr="00215EBE" w:rsidRDefault="00BE0DAB" w:rsidP="00927526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счета-фактуры (если подлежат выставлению)</w:t>
            </w:r>
          </w:p>
          <w:p w:rsidR="00215EBE" w:rsidRPr="00215EBE" w:rsidRDefault="00215EBE" w:rsidP="00927526">
            <w:pPr>
              <w:pStyle w:val="a6"/>
              <w:shd w:val="clear" w:color="auto" w:fill="auto"/>
              <w:spacing w:line="276" w:lineRule="auto"/>
              <w:ind w:left="720" w:firstLine="0"/>
              <w:rPr>
                <w:color w:val="000000" w:themeColor="text1"/>
              </w:rPr>
            </w:pPr>
          </w:p>
          <w:p w:rsidR="00BE0DAB" w:rsidRPr="00215EBE" w:rsidRDefault="00BE0DAB" w:rsidP="00927526">
            <w:pPr>
              <w:pStyle w:val="20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В отношении аренды оборудования: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10"/>
              </w:numPr>
              <w:shd w:val="clear" w:color="auto" w:fill="auto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договор аренды или субаренды (со всеми приложениями, указанными в нем);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10"/>
              </w:numPr>
              <w:shd w:val="clear" w:color="auto" w:fill="auto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документ, которым оформлена передача арендуемого оборудования (акт приема-передачи или иной);</w:t>
            </w:r>
          </w:p>
          <w:p w:rsidR="00BE0DAB" w:rsidRPr="00215EBE" w:rsidRDefault="00BE0DAB" w:rsidP="00927526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064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кассовые чеки и (или) квитанции (по</w:t>
            </w:r>
            <w:r w:rsidR="00EC362A"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аренде, оплаченной работниками </w:t>
            </w:r>
            <w:proofErr w:type="spellStart"/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>грантополучателя</w:t>
            </w:r>
            <w:proofErr w:type="spellEnd"/>
            <w:r w:rsidRPr="00215EBE">
              <w:rPr>
                <w:color w:val="000000" w:themeColor="text1"/>
                <w:sz w:val="28"/>
                <w:szCs w:val="28"/>
                <w:lang w:eastAsia="ru-RU" w:bidi="ru-RU"/>
              </w:rPr>
              <w:t xml:space="preserve"> с последующим представлением авансового отчета).</w:t>
            </w:r>
          </w:p>
          <w:p w:rsidR="004B525F" w:rsidRPr="00215EBE" w:rsidRDefault="00BE0DAB" w:rsidP="00927526">
            <w:pPr>
              <w:pStyle w:val="a6"/>
              <w:numPr>
                <w:ilvl w:val="0"/>
                <w:numId w:val="10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счета, акты (если таковые предусмотрены договором аренды или субаренды);</w:t>
            </w:r>
          </w:p>
          <w:p w:rsidR="00BE0DAB" w:rsidRPr="00215EBE" w:rsidRDefault="00BE0DAB" w:rsidP="00927526">
            <w:pPr>
              <w:pStyle w:val="a6"/>
              <w:numPr>
                <w:ilvl w:val="0"/>
                <w:numId w:val="10"/>
              </w:numPr>
              <w:shd w:val="clear" w:color="auto" w:fill="auto"/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счета-фактуры (если подлежат выставлению).</w:t>
            </w:r>
          </w:p>
          <w:p w:rsidR="004B525F" w:rsidRPr="00215EBE" w:rsidRDefault="004B525F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</w:p>
          <w:p w:rsidR="004B525F" w:rsidRPr="00215EBE" w:rsidRDefault="00BE0DAB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услуг связи, почтовых услуг:</w:t>
            </w:r>
          </w:p>
          <w:p w:rsidR="001629EF" w:rsidRPr="00215EBE" w:rsidRDefault="001629EF" w:rsidP="00927526">
            <w:pPr>
              <w:pStyle w:val="a6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договор оказания услуг;</w:t>
            </w:r>
          </w:p>
          <w:p w:rsidR="00BE0DAB" w:rsidRPr="00215EBE" w:rsidRDefault="00BE0DAB" w:rsidP="00927526">
            <w:pPr>
              <w:pStyle w:val="a6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счета, акты;</w:t>
            </w:r>
          </w:p>
          <w:p w:rsidR="004B525F" w:rsidRPr="00215EBE" w:rsidRDefault="004B525F" w:rsidP="00927526">
            <w:pPr>
              <w:pStyle w:val="a6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авансовые</w:t>
            </w:r>
            <w:r w:rsidR="00BE0DAB" w:rsidRPr="00215EBE">
              <w:rPr>
                <w:color w:val="000000" w:themeColor="text1"/>
                <w:lang w:eastAsia="ru-RU" w:bidi="ru-RU"/>
              </w:rPr>
              <w:t xml:space="preserve"> отчеты, кассовые чеки, квитанции (по почтовым отправлениям, оплаченным работниками </w:t>
            </w:r>
            <w:proofErr w:type="spellStart"/>
            <w:r w:rsidR="00BE0DAB" w:rsidRPr="00215EBE">
              <w:rPr>
                <w:color w:val="000000" w:themeColor="text1"/>
                <w:lang w:eastAsia="ru-RU" w:bidi="ru-RU"/>
              </w:rPr>
              <w:t>грантополучателя</w:t>
            </w:r>
            <w:proofErr w:type="spellEnd"/>
            <w:r w:rsidR="00BE0DAB" w:rsidRPr="00215EBE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авансовых отчетов);</w:t>
            </w:r>
          </w:p>
          <w:p w:rsidR="00BE0DAB" w:rsidRPr="00215EBE" w:rsidRDefault="001629EF" w:rsidP="00927526">
            <w:pPr>
              <w:pStyle w:val="a6"/>
              <w:shd w:val="clear" w:color="auto" w:fill="auto"/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4</w:t>
            </w:r>
            <w:r w:rsidR="004E6E1F" w:rsidRPr="00215EBE">
              <w:rPr>
                <w:color w:val="000000" w:themeColor="text1"/>
                <w:lang w:eastAsia="ru-RU" w:bidi="ru-RU"/>
              </w:rPr>
              <w:t>.</w:t>
            </w:r>
            <w:r w:rsidR="00BE0DAB" w:rsidRPr="00215EBE">
              <w:rPr>
                <w:color w:val="000000" w:themeColor="text1"/>
                <w:lang w:eastAsia="ru-RU" w:bidi="ru-RU"/>
              </w:rPr>
              <w:t xml:space="preserve"> счета-фактуры (если подлежат выставлению).</w:t>
            </w:r>
          </w:p>
          <w:p w:rsidR="004B525F" w:rsidRPr="00215EBE" w:rsidRDefault="004B525F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</w:p>
          <w:p w:rsidR="00BE0DAB" w:rsidRPr="00215EBE" w:rsidRDefault="00BE0DAB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канцелярских товаров, расходных материалов:</w:t>
            </w:r>
          </w:p>
          <w:p w:rsidR="004B525F" w:rsidRPr="00215EBE" w:rsidRDefault="00BE0DAB" w:rsidP="00927526">
            <w:pPr>
              <w:pStyle w:val="a6"/>
              <w:numPr>
                <w:ilvl w:val="0"/>
                <w:numId w:val="12"/>
              </w:numPr>
              <w:shd w:val="clear" w:color="auto" w:fill="auto"/>
              <w:spacing w:line="276" w:lineRule="auto"/>
              <w:jc w:val="left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lastRenderedPageBreak/>
              <w:t xml:space="preserve">товарные накладные; </w:t>
            </w:r>
            <w:r w:rsidRPr="00215EBE">
              <w:rPr>
                <w:i/>
                <w:iCs/>
                <w:color w:val="000000" w:themeColor="text1"/>
                <w:lang w:eastAsia="ru-RU" w:bidi="ru-RU"/>
              </w:rPr>
              <w:t xml:space="preserve">или </w:t>
            </w:r>
            <w:r w:rsidRPr="00215EBE">
              <w:rPr>
                <w:color w:val="000000" w:themeColor="text1"/>
                <w:lang w:eastAsia="ru-RU" w:bidi="ru-RU"/>
              </w:rPr>
              <w:t xml:space="preserve">кассовые и (или) товарные чеки* (по канцелярским товарам, расходным материалам, приобретенным работниками </w:t>
            </w:r>
            <w:proofErr w:type="spellStart"/>
            <w:r w:rsidRPr="00215EBE">
              <w:rPr>
                <w:color w:val="000000" w:themeColor="text1"/>
                <w:lang w:eastAsia="ru-RU" w:bidi="ru-RU"/>
              </w:rPr>
              <w:t>грантополучателя</w:t>
            </w:r>
            <w:proofErr w:type="spellEnd"/>
            <w:r w:rsidRPr="00215EBE">
              <w:rPr>
                <w:color w:val="000000" w:themeColor="text1"/>
                <w:lang w:eastAsia="ru-RU" w:bidi="ru-RU"/>
              </w:rPr>
              <w:t xml:space="preserve"> с последующим пр</w:t>
            </w:r>
            <w:r w:rsidR="004B525F" w:rsidRPr="00215EBE">
              <w:rPr>
                <w:color w:val="000000" w:themeColor="text1"/>
                <w:lang w:eastAsia="ru-RU" w:bidi="ru-RU"/>
              </w:rPr>
              <w:t>едставлением авансового отчета)</w:t>
            </w:r>
          </w:p>
          <w:p w:rsidR="004B525F" w:rsidRPr="00215EBE" w:rsidRDefault="00BE0DAB" w:rsidP="00927526">
            <w:pPr>
              <w:pStyle w:val="a6"/>
              <w:numPr>
                <w:ilvl w:val="0"/>
                <w:numId w:val="12"/>
              </w:numPr>
              <w:shd w:val="clear" w:color="auto" w:fill="auto"/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договоры с поставщиками (если заключаются);</w:t>
            </w:r>
          </w:p>
          <w:p w:rsidR="004B525F" w:rsidRPr="00215EBE" w:rsidRDefault="00BE0DAB" w:rsidP="00927526">
            <w:pPr>
              <w:pStyle w:val="a6"/>
              <w:numPr>
                <w:ilvl w:val="0"/>
                <w:numId w:val="12"/>
              </w:numPr>
              <w:shd w:val="clear" w:color="auto" w:fill="auto"/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счета;</w:t>
            </w:r>
          </w:p>
          <w:p w:rsidR="004E6E1F" w:rsidRPr="00215EBE" w:rsidRDefault="00BE0DAB" w:rsidP="00927526">
            <w:pPr>
              <w:pStyle w:val="a6"/>
              <w:numPr>
                <w:ilvl w:val="0"/>
                <w:numId w:val="12"/>
              </w:numPr>
              <w:shd w:val="clear" w:color="auto" w:fill="auto"/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товарные накладные;</w:t>
            </w:r>
          </w:p>
          <w:p w:rsidR="00BE0DAB" w:rsidRPr="00215EBE" w:rsidRDefault="00BE0DAB" w:rsidP="00927526">
            <w:pPr>
              <w:pStyle w:val="a6"/>
              <w:numPr>
                <w:ilvl w:val="0"/>
                <w:numId w:val="12"/>
              </w:numPr>
              <w:shd w:val="clear" w:color="auto" w:fill="auto"/>
              <w:spacing w:line="276" w:lineRule="auto"/>
              <w:jc w:val="left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 xml:space="preserve">авансовые отчеты, кассовые и (или) товарные чеки* (по канцелярским товарам, расходным материалам, приобретенным работниками </w:t>
            </w:r>
            <w:proofErr w:type="spellStart"/>
            <w:r w:rsidRPr="00215EBE">
              <w:rPr>
                <w:color w:val="000000" w:themeColor="text1"/>
                <w:lang w:eastAsia="ru-RU" w:bidi="ru-RU"/>
              </w:rPr>
              <w:t>грантополучателя</w:t>
            </w:r>
            <w:proofErr w:type="spellEnd"/>
            <w:r w:rsidRPr="00215EBE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авансового отчета);</w:t>
            </w:r>
          </w:p>
          <w:p w:rsidR="00BE0DAB" w:rsidRPr="00215EBE" w:rsidRDefault="00BE0DAB" w:rsidP="00927526">
            <w:pPr>
              <w:pStyle w:val="a6"/>
              <w:numPr>
                <w:ilvl w:val="0"/>
                <w:numId w:val="12"/>
              </w:numPr>
              <w:shd w:val="clear" w:color="auto" w:fill="auto"/>
              <w:spacing w:after="260"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счета-фактуры (если подлежат выставлению</w:t>
            </w:r>
            <w:r w:rsidR="001629EF" w:rsidRPr="00215EBE">
              <w:rPr>
                <w:color w:val="000000" w:themeColor="text1"/>
                <w:lang w:eastAsia="ru-RU" w:bidi="ru-RU"/>
              </w:rPr>
              <w:t>)</w:t>
            </w:r>
          </w:p>
          <w:p w:rsidR="004E6E1F" w:rsidRPr="00215EBE" w:rsidRDefault="00BE0DAB" w:rsidP="00927526">
            <w:pPr>
              <w:pStyle w:val="a6"/>
              <w:shd w:val="clear" w:color="auto" w:fill="FFFFFF" w:themeFill="background1"/>
              <w:spacing w:before="240" w:line="276" w:lineRule="auto"/>
              <w:ind w:firstLine="0"/>
              <w:rPr>
                <w:i/>
                <w:iCs/>
                <w:color w:val="000000" w:themeColor="text1"/>
                <w:lang w:eastAsia="ru-RU" w:bidi="ru-RU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услуг банков:</w:t>
            </w:r>
          </w:p>
          <w:p w:rsidR="004E6E1F" w:rsidRPr="00215EBE" w:rsidRDefault="001629EF" w:rsidP="00927526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iCs/>
                <w:color w:val="000000" w:themeColor="text1"/>
                <w:lang w:eastAsia="ru-RU" w:bidi="ru-RU"/>
              </w:rPr>
            </w:pPr>
            <w:r w:rsidRPr="00215EBE">
              <w:rPr>
                <w:iCs/>
                <w:color w:val="000000" w:themeColor="text1"/>
                <w:lang w:eastAsia="ru-RU" w:bidi="ru-RU"/>
              </w:rPr>
              <w:t>договор оказания услуг;</w:t>
            </w:r>
          </w:p>
          <w:p w:rsidR="004E6E1F" w:rsidRPr="00215EBE" w:rsidRDefault="001629EF" w:rsidP="00927526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iCs/>
                <w:color w:val="000000" w:themeColor="text1"/>
                <w:lang w:eastAsia="ru-RU" w:bidi="ru-RU"/>
              </w:rPr>
            </w:pPr>
            <w:r w:rsidRPr="00215EBE">
              <w:rPr>
                <w:iCs/>
                <w:color w:val="000000" w:themeColor="text1"/>
                <w:lang w:eastAsia="ru-RU" w:bidi="ru-RU"/>
              </w:rPr>
              <w:t>платежные ордера(поручения);</w:t>
            </w:r>
          </w:p>
          <w:p w:rsidR="00A10896" w:rsidRPr="00215EBE" w:rsidRDefault="001629EF" w:rsidP="00927526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i/>
                <w:iCs/>
                <w:color w:val="000000" w:themeColor="text1"/>
                <w:lang w:eastAsia="ru-RU" w:bidi="ru-RU"/>
              </w:rPr>
            </w:pPr>
            <w:r w:rsidRPr="00215EBE">
              <w:rPr>
                <w:iCs/>
                <w:color w:val="000000" w:themeColor="text1"/>
                <w:lang w:eastAsia="ru-RU" w:bidi="ru-RU"/>
              </w:rPr>
              <w:t>расчетные ведомости.</w:t>
            </w:r>
          </w:p>
        </w:tc>
      </w:tr>
      <w:tr w:rsidR="00A10896" w:rsidRPr="004E6E1F" w:rsidTr="00927526">
        <w:tc>
          <w:tcPr>
            <w:tcW w:w="3114" w:type="dxa"/>
          </w:tcPr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Приобретение, аренда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специализированного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оборудования, инвентаря и</w:t>
            </w:r>
          </w:p>
          <w:p w:rsidR="00A10896" w:rsidRPr="00215EBE" w:rsidRDefault="00BE0DAB" w:rsidP="00927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сопутствующие расходы</w:t>
            </w:r>
          </w:p>
        </w:tc>
        <w:tc>
          <w:tcPr>
            <w:tcW w:w="11446" w:type="dxa"/>
          </w:tcPr>
          <w:p w:rsidR="00BE0DAB" w:rsidRPr="00215EBE" w:rsidRDefault="00BE0DAB" w:rsidP="00927526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приобретения имущества:</w:t>
            </w:r>
          </w:p>
          <w:p w:rsidR="00BE0DAB" w:rsidRPr="00215EBE" w:rsidRDefault="004B525F" w:rsidP="00927526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товарные</w:t>
            </w:r>
            <w:r w:rsidR="00BE0DAB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накладные;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0DAB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</w:t>
            </w:r>
          </w:p>
          <w:p w:rsidR="004B525F" w:rsidRPr="00215EBE" w:rsidRDefault="00BE0DAB" w:rsidP="00927526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кассовые и (или) товарные чеки* (по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имуществу, приобретенному работниками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грантополучателя</w:t>
            </w:r>
            <w:proofErr w:type="spellEnd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последующим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представлением авансового отчета).</w:t>
            </w:r>
          </w:p>
          <w:p w:rsidR="004B525F" w:rsidRPr="00215EBE" w:rsidRDefault="00BE0DAB" w:rsidP="00927526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договоры с п</w:t>
            </w:r>
            <w:r w:rsidR="004B525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оставщиками (если заключаются);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счета-фактуры (если подлежат выставлению).</w:t>
            </w:r>
          </w:p>
          <w:p w:rsidR="00EC362A" w:rsidRPr="00215EBE" w:rsidRDefault="00EC362A" w:rsidP="0092752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0DAB" w:rsidRPr="00215EBE" w:rsidRDefault="00BE0DAB" w:rsidP="00927526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аренды имущества: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 аренды или субаренды (со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 приложениями, указанными в нем);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документ, которым оформлена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арендуемого имущества (акт приема-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передачи или иной);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кассовые чеки и (или) квитанции (по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аренде, оплаченной работниками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грантополучателя</w:t>
            </w:r>
            <w:proofErr w:type="spellEnd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 аренды или субаренды (со всеми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приложениями, указанными в нем);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отчеты, кассовые чеки и (или)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квитанции (по аренде, оплаченной </w:t>
            </w:r>
            <w:r w:rsidR="004B525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работниками </w:t>
            </w:r>
            <w:proofErr w:type="spellStart"/>
            <w:r w:rsidR="004B525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грантополучателя</w:t>
            </w:r>
            <w:proofErr w:type="spellEnd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последующим представлением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авансового отчета);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счета, акты (если таковые предусмотрены</w:t>
            </w:r>
            <w:r w:rsidR="001629E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договором аренды или субаренды).</w:t>
            </w:r>
          </w:p>
          <w:p w:rsidR="004B525F" w:rsidRPr="00215EBE" w:rsidRDefault="004B525F" w:rsidP="0092752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0DAB" w:rsidRPr="00215EBE" w:rsidRDefault="00BE0DAB" w:rsidP="00927526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услуг: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договоры с исполнителями услуг;</w:t>
            </w:r>
          </w:p>
          <w:p w:rsidR="004E6E1F" w:rsidRPr="00215EBE" w:rsidRDefault="00BE0DAB" w:rsidP="00927526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счета, акты;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отчеты, кассовые чеки и (или)</w:t>
            </w:r>
          </w:p>
          <w:p w:rsidR="00BE0DAB" w:rsidRPr="00215EBE" w:rsidRDefault="00BE0DAB" w:rsidP="00927526">
            <w:pPr>
              <w:spacing w:line="276" w:lineRule="auto"/>
              <w:ind w:left="7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квитанции (по услугам, оплаченным</w:t>
            </w:r>
            <w:r w:rsidR="001629E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работниками </w:t>
            </w:r>
            <w:proofErr w:type="spellStart"/>
            <w:r w:rsidR="001629E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грантополучателя</w:t>
            </w:r>
            <w:proofErr w:type="spellEnd"/>
            <w:r w:rsidR="001629E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последующим представлением</w:t>
            </w:r>
            <w:r w:rsidR="009275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вансового</w:t>
            </w:r>
            <w:proofErr w:type="spellEnd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отчета);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счета-фактуры (если подлежат выставлению).</w:t>
            </w:r>
          </w:p>
        </w:tc>
      </w:tr>
      <w:tr w:rsidR="00A10896" w:rsidRPr="004E6E1F" w:rsidTr="00927526">
        <w:tc>
          <w:tcPr>
            <w:tcW w:w="3114" w:type="dxa"/>
          </w:tcPr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Разработка и поддержка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сайтов, информационных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 и иные аналогичные</w:t>
            </w:r>
          </w:p>
          <w:p w:rsidR="00A10896" w:rsidRPr="00215EBE" w:rsidRDefault="00BE0DAB" w:rsidP="00927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11446" w:type="dxa"/>
          </w:tcPr>
          <w:p w:rsidR="00BE0DAB" w:rsidRPr="00215EBE" w:rsidRDefault="00BE0DAB" w:rsidP="00927526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договоры с исполнителями услуг (за исключением хостинга сайтов и регистрации доменных имен);</w:t>
            </w:r>
          </w:p>
          <w:p w:rsidR="00A10896" w:rsidRPr="00215EBE" w:rsidRDefault="001629EF" w:rsidP="00927526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акты с указанием перечня оказанных услуг;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договоры с исполнителями услуг;</w:t>
            </w:r>
          </w:p>
          <w:p w:rsidR="00712C8E" w:rsidRPr="00215EBE" w:rsidRDefault="00BE0DAB" w:rsidP="00927526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счета, акты;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счета-фактуры (если подлежат выставлению).</w:t>
            </w:r>
          </w:p>
        </w:tc>
      </w:tr>
      <w:tr w:rsidR="00A10896" w:rsidRPr="004E6E1F" w:rsidTr="00927526">
        <w:tc>
          <w:tcPr>
            <w:tcW w:w="3114" w:type="dxa"/>
          </w:tcPr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Оплата юридических,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информационных,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консультационных услуг и</w:t>
            </w:r>
          </w:p>
          <w:p w:rsidR="00A10896" w:rsidRPr="00215EBE" w:rsidRDefault="00BE0DAB" w:rsidP="00927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иные аналогичные расходы</w:t>
            </w:r>
          </w:p>
        </w:tc>
        <w:tc>
          <w:tcPr>
            <w:tcW w:w="11446" w:type="dxa"/>
          </w:tcPr>
          <w:p w:rsidR="00712C8E" w:rsidRPr="00215EBE" w:rsidRDefault="00BE0DAB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договоры с исполнителями услуг (за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исключением услуг нотариуса);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акты;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квитанции (по услугам нотариуса, оплаченным работниками </w:t>
            </w:r>
            <w:proofErr w:type="spellStart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грантополучателя</w:t>
            </w:r>
            <w:proofErr w:type="spellEnd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A10896" w:rsidRPr="00215EBE" w:rsidRDefault="00BE0DAB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 оплате судебных расходов по</w:t>
            </w:r>
            <w:r w:rsidR="001629E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судебным постановлениям (судебным актам), вступившим в законную силу (если такие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расходы предусмотрены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бюджетом проекта),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других документов требуется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только когда это следует из соответствующего судебного постановления (судебного акта).</w:t>
            </w:r>
          </w:p>
          <w:p w:rsidR="00BE0DAB" w:rsidRPr="00215EBE" w:rsidRDefault="001629EF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договоры с исполнителями </w:t>
            </w:r>
            <w:r w:rsidR="00BE0DAB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BE0DAB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0DAB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исключением услуг нотариуса);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счета, акты;</w:t>
            </w:r>
          </w:p>
          <w:p w:rsidR="00BE0DAB" w:rsidRPr="00215EBE" w:rsidRDefault="00BE0DAB" w:rsidP="0092752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счета-фактуры (если подлежат выставлению).</w:t>
            </w:r>
          </w:p>
          <w:p w:rsidR="004B525F" w:rsidRPr="00215EBE" w:rsidRDefault="004B525F" w:rsidP="00927526">
            <w:pPr>
              <w:spacing w:line="276" w:lineRule="auto"/>
              <w:ind w:lef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0DAB" w:rsidRPr="00215EBE" w:rsidRDefault="00BE0DAB" w:rsidP="00927526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 уплате государственной пошлины оформление документов помимо платежного поручения не требуется.</w:t>
            </w:r>
          </w:p>
          <w:p w:rsidR="004B525F" w:rsidRPr="00215EBE" w:rsidRDefault="004B525F" w:rsidP="00927526">
            <w:pPr>
              <w:spacing w:line="276" w:lineRule="auto"/>
              <w:ind w:left="601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E0DAB" w:rsidRPr="00215EBE" w:rsidRDefault="00BE0DAB" w:rsidP="0092752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 оплате судебных расходов по судебным постановлениям (судебным актам), вступившим в законную силу (если такие расходы предусмотрены бюджетом проекта), оформление других документов требуется только когда это следует из соответствующего судебного постановления (судебного акта).</w:t>
            </w:r>
          </w:p>
        </w:tc>
      </w:tr>
      <w:tr w:rsidR="00BE0DAB" w:rsidRPr="004E6E1F" w:rsidTr="00927526">
        <w:tc>
          <w:tcPr>
            <w:tcW w:w="3114" w:type="dxa"/>
          </w:tcPr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Расходы на проведение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мероприятий</w:t>
            </w:r>
          </w:p>
          <w:p w:rsidR="00BE0DAB" w:rsidRPr="00215EBE" w:rsidRDefault="00BE0DAB" w:rsidP="00927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6" w:type="dxa"/>
            <w:shd w:val="clear" w:color="auto" w:fill="FFFFFF" w:themeFill="background1"/>
          </w:tcPr>
          <w:p w:rsidR="00C708E8" w:rsidRPr="00215EBE" w:rsidRDefault="00C708E8" w:rsidP="00927526">
            <w:p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приобретения имущества: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19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договоры с поставщиками (если заключаются);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19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19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товарные накладные;</w:t>
            </w:r>
          </w:p>
          <w:p w:rsidR="00BE0DAB" w:rsidRPr="00215EBE" w:rsidRDefault="00C708E8" w:rsidP="00927526">
            <w:pPr>
              <w:pStyle w:val="a7"/>
              <w:numPr>
                <w:ilvl w:val="0"/>
                <w:numId w:val="19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отчеты, кассовые и (или) товарные</w:t>
            </w:r>
            <w:r w:rsidR="00445A45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чеки* (по имуществу, приобретенному</w:t>
            </w:r>
            <w:r w:rsidR="00445A45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работниками </w:t>
            </w:r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445A45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олучателя </w:t>
            </w:r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гранта </w:t>
            </w:r>
            <w:r w:rsidR="00445A45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последующим представлением</w:t>
            </w:r>
            <w:r w:rsidR="00445A45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авансового отчета);</w:t>
            </w:r>
          </w:p>
          <w:p w:rsidR="004B525F" w:rsidRPr="00215EBE" w:rsidRDefault="004B525F" w:rsidP="00927526">
            <w:pPr>
              <w:tabs>
                <w:tab w:val="left" w:pos="4533"/>
              </w:tabs>
              <w:spacing w:line="276" w:lineRule="auto"/>
              <w:ind w:left="175" w:firstLine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08E8" w:rsidRPr="00215EBE" w:rsidRDefault="00C708E8" w:rsidP="00927526">
            <w:p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аренды имущества: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0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 аренды или субаренды (со всеми приложениями, указанными в нем);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0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документ, которым оформлена передача арендуемого имущества (акт приема- передачи или иной);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0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кассовые чеки и (или) квитанции (по</w:t>
            </w:r>
            <w:r w:rsidR="00445A45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</w:t>
            </w:r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е, оплаченной работниками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получателя</w:t>
            </w:r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гранта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последующим представлением авансового отчета).</w:t>
            </w:r>
          </w:p>
          <w:p w:rsidR="00215EBE" w:rsidRPr="00215EBE" w:rsidRDefault="00215EBE" w:rsidP="00927526">
            <w:pPr>
              <w:pStyle w:val="a7"/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08E8" w:rsidRPr="00215EBE" w:rsidRDefault="00C708E8" w:rsidP="00927526">
            <w:p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отношении услуг (кроме проживания и питания):</w:t>
            </w:r>
          </w:p>
          <w:p w:rsidR="00EC362A" w:rsidRPr="00215EBE" w:rsidRDefault="00C708E8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договоры с исполнителями услуг; 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акты;</w:t>
            </w:r>
          </w:p>
          <w:p w:rsidR="00EC362A" w:rsidRPr="00215EBE" w:rsidRDefault="00C708E8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кассовые чеки и (или) квитанции (по услуга</w:t>
            </w:r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м, оплаченным работниками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получателя </w:t>
            </w:r>
            <w:r w:rsidR="00325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гранта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последующим представлением ав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ансового отчета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за исключением услуг физических лиц)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 аренды или субаренды (со всеми приложениями, указанными в нем);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документ, которым оформлена передача арендуемого имущества (акт приема-передачи или иной);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отчеты, кассовые чеки и (или)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квитанции (по аренд</w:t>
            </w:r>
            <w:r w:rsidR="005B3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е, оплаченной работниками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получателя</w:t>
            </w:r>
            <w:r w:rsidR="005B3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гранта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последующим представлением</w:t>
            </w:r>
            <w:r w:rsidR="00EC362A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авансового отчета);</w:t>
            </w:r>
          </w:p>
          <w:p w:rsidR="00C708E8" w:rsidRPr="00215EBE" w:rsidRDefault="00EC362A" w:rsidP="00927526">
            <w:pPr>
              <w:pStyle w:val="a7"/>
              <w:numPr>
                <w:ilvl w:val="0"/>
                <w:numId w:val="21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</w:t>
            </w:r>
          </w:p>
          <w:p w:rsidR="004B525F" w:rsidRPr="00215EBE" w:rsidRDefault="004B525F" w:rsidP="00927526">
            <w:pPr>
              <w:tabs>
                <w:tab w:val="left" w:pos="4533"/>
              </w:tabs>
              <w:spacing w:line="276" w:lineRule="auto"/>
              <w:ind w:left="175" w:firstLine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08E8" w:rsidRPr="00927526" w:rsidRDefault="00C708E8" w:rsidP="00927526">
            <w:p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752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В отношении услуг (кроме проживания и питания):</w:t>
            </w:r>
          </w:p>
          <w:p w:rsidR="00C708E8" w:rsidRPr="00927526" w:rsidRDefault="00C708E8" w:rsidP="00927526">
            <w:pPr>
              <w:pStyle w:val="a6"/>
              <w:numPr>
                <w:ilvl w:val="0"/>
                <w:numId w:val="22"/>
              </w:numPr>
              <w:shd w:val="clear" w:color="auto" w:fill="auto"/>
              <w:spacing w:line="276" w:lineRule="auto"/>
              <w:jc w:val="left"/>
              <w:rPr>
                <w:color w:val="000000" w:themeColor="text1"/>
              </w:rPr>
            </w:pPr>
            <w:r w:rsidRPr="00927526">
              <w:rPr>
                <w:color w:val="000000" w:themeColor="text1"/>
                <w:lang w:eastAsia="ru-RU" w:bidi="ru-RU"/>
              </w:rPr>
              <w:t>договоры с исполнителями услуг; акты;</w:t>
            </w:r>
          </w:p>
          <w:p w:rsidR="00C708E8" w:rsidRPr="00927526" w:rsidRDefault="00C708E8" w:rsidP="00927526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rPr>
                <w:color w:val="000000" w:themeColor="text1"/>
                <w:lang w:eastAsia="ru-RU" w:bidi="ru-RU"/>
              </w:rPr>
            </w:pPr>
            <w:r w:rsidRPr="00927526">
              <w:rPr>
                <w:color w:val="000000" w:themeColor="text1"/>
                <w:lang w:eastAsia="ru-RU" w:bidi="ru-RU"/>
              </w:rPr>
              <w:t>кассовые чеки и (или) квитанции (по услуга</w:t>
            </w:r>
            <w:r w:rsidR="005B3235">
              <w:rPr>
                <w:color w:val="000000" w:themeColor="text1"/>
                <w:lang w:eastAsia="ru-RU" w:bidi="ru-RU"/>
              </w:rPr>
              <w:t xml:space="preserve">м, оплаченным работниками </w:t>
            </w:r>
            <w:r w:rsidRPr="00927526">
              <w:rPr>
                <w:color w:val="000000" w:themeColor="text1"/>
                <w:lang w:eastAsia="ru-RU" w:bidi="ru-RU"/>
              </w:rPr>
              <w:t>получателя</w:t>
            </w:r>
            <w:r w:rsidR="005B3235">
              <w:rPr>
                <w:color w:val="000000" w:themeColor="text1"/>
                <w:lang w:eastAsia="ru-RU" w:bidi="ru-RU"/>
              </w:rPr>
              <w:t xml:space="preserve"> гранта</w:t>
            </w:r>
            <w:r w:rsidRPr="00927526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авансового отчета, за исключением услуг физических лиц).</w:t>
            </w:r>
          </w:p>
          <w:p w:rsidR="00712C8E" w:rsidRPr="00927526" w:rsidRDefault="00C708E8" w:rsidP="00927526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236"/>
              </w:tabs>
              <w:rPr>
                <w:color w:val="000000" w:themeColor="text1"/>
              </w:rPr>
            </w:pPr>
            <w:r w:rsidRPr="00927526">
              <w:rPr>
                <w:color w:val="000000" w:themeColor="text1"/>
                <w:lang w:eastAsia="ru-RU" w:bidi="ru-RU"/>
              </w:rPr>
              <w:t>счета, акты;</w:t>
            </w:r>
          </w:p>
          <w:p w:rsidR="00C708E8" w:rsidRPr="00927526" w:rsidRDefault="00C708E8" w:rsidP="00927526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236"/>
              </w:tabs>
              <w:rPr>
                <w:color w:val="000000" w:themeColor="text1"/>
              </w:rPr>
            </w:pPr>
            <w:r w:rsidRPr="00927526">
              <w:rPr>
                <w:color w:val="000000" w:themeColor="text1"/>
                <w:lang w:eastAsia="ru-RU" w:bidi="ru-RU"/>
              </w:rPr>
              <w:t>счета-фактуры (если подлежат выставлению).</w:t>
            </w:r>
          </w:p>
          <w:p w:rsidR="00215EBE" w:rsidRPr="00215EBE" w:rsidRDefault="00215EBE" w:rsidP="00927526">
            <w:pPr>
              <w:pStyle w:val="a6"/>
              <w:shd w:val="clear" w:color="auto" w:fill="auto"/>
              <w:tabs>
                <w:tab w:val="left" w:pos="1236"/>
              </w:tabs>
              <w:spacing w:line="276" w:lineRule="auto"/>
              <w:ind w:left="720" w:firstLine="0"/>
              <w:rPr>
                <w:color w:val="000000" w:themeColor="text1"/>
              </w:rPr>
            </w:pPr>
          </w:p>
          <w:p w:rsidR="00712C8E" w:rsidRPr="00215EBE" w:rsidRDefault="00C708E8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проезда к месту проведения мероприятий и обратно: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договоры;</w:t>
            </w:r>
          </w:p>
          <w:p w:rsidR="004B525F" w:rsidRPr="00215EBE" w:rsidRDefault="00C708E8" w:rsidP="00927526">
            <w:pPr>
              <w:pStyle w:val="a6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акты (если таковые предусмотрены договорами);</w:t>
            </w:r>
          </w:p>
          <w:p w:rsidR="00712C8E" w:rsidRPr="00215EBE" w:rsidRDefault="00C708E8" w:rsidP="00927526">
            <w:pPr>
              <w:pStyle w:val="a6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 xml:space="preserve">кассовые чеки (при </w:t>
            </w:r>
            <w:r w:rsidR="005B3235">
              <w:rPr>
                <w:color w:val="000000" w:themeColor="text1"/>
                <w:lang w:eastAsia="ru-RU" w:bidi="ru-RU"/>
              </w:rPr>
              <w:t xml:space="preserve">оплате проезда работником </w:t>
            </w:r>
            <w:r w:rsidRPr="00215EBE">
              <w:rPr>
                <w:color w:val="000000" w:themeColor="text1"/>
                <w:lang w:eastAsia="ru-RU" w:bidi="ru-RU"/>
              </w:rPr>
              <w:t>получателя</w:t>
            </w:r>
            <w:r w:rsidR="005B3235">
              <w:rPr>
                <w:color w:val="000000" w:themeColor="text1"/>
                <w:lang w:eastAsia="ru-RU" w:bidi="ru-RU"/>
              </w:rPr>
              <w:t xml:space="preserve"> гранта</w:t>
            </w:r>
            <w:r w:rsidRPr="00215EBE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авансового отчета);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проездные документы (электронные билеты, проездные документы установленной формы);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посадочные талоны (при</w:t>
            </w:r>
            <w:r w:rsidR="004B525F" w:rsidRPr="00215EBE">
              <w:rPr>
                <w:color w:val="000000" w:themeColor="text1"/>
                <w:lang w:eastAsia="ru-RU" w:bidi="ru-RU"/>
              </w:rPr>
              <w:t xml:space="preserve"> </w:t>
            </w:r>
            <w:r w:rsidRPr="00215EBE">
              <w:rPr>
                <w:color w:val="000000" w:themeColor="text1"/>
                <w:lang w:eastAsia="ru-RU" w:bidi="ru-RU"/>
              </w:rPr>
              <w:t>пользовании воздушным транспортом).</w:t>
            </w:r>
          </w:p>
          <w:p w:rsidR="004B525F" w:rsidRPr="00215EBE" w:rsidRDefault="004B525F" w:rsidP="00927526">
            <w:pPr>
              <w:pStyle w:val="a6"/>
              <w:shd w:val="clear" w:color="auto" w:fill="auto"/>
              <w:spacing w:line="276" w:lineRule="auto"/>
              <w:ind w:left="175" w:firstLine="284"/>
              <w:rPr>
                <w:color w:val="000000" w:themeColor="text1"/>
                <w:lang w:eastAsia="ru-RU" w:bidi="ru-RU"/>
              </w:rPr>
            </w:pPr>
          </w:p>
          <w:p w:rsidR="00C708E8" w:rsidRPr="00215EBE" w:rsidRDefault="00C708E8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проживания: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4"/>
              </w:numPr>
              <w:shd w:val="clear" w:color="auto" w:fill="auto"/>
              <w:spacing w:after="260"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счета и (или) акты гостиниц (с указанием фамилий проживающих, сроков проживания и категорий номеров), а также кассовые чеки и (или) квитанции (при опл</w:t>
            </w:r>
            <w:r w:rsidR="005B3235">
              <w:rPr>
                <w:color w:val="000000" w:themeColor="text1"/>
                <w:lang w:eastAsia="ru-RU" w:bidi="ru-RU"/>
              </w:rPr>
              <w:t xml:space="preserve">ате проживания работником </w:t>
            </w:r>
            <w:r w:rsidRPr="00215EBE">
              <w:rPr>
                <w:color w:val="000000" w:themeColor="text1"/>
                <w:lang w:eastAsia="ru-RU" w:bidi="ru-RU"/>
              </w:rPr>
              <w:t>получателя</w:t>
            </w:r>
            <w:r w:rsidR="005B3235">
              <w:rPr>
                <w:color w:val="000000" w:themeColor="text1"/>
                <w:lang w:eastAsia="ru-RU" w:bidi="ru-RU"/>
              </w:rPr>
              <w:t xml:space="preserve"> гранта</w:t>
            </w:r>
            <w:r w:rsidRPr="00215EBE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авансового отчета).</w:t>
            </w:r>
          </w:p>
          <w:p w:rsidR="00C708E8" w:rsidRPr="00215EBE" w:rsidRDefault="00C708E8" w:rsidP="00927526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 w:themeColor="text1"/>
              </w:rPr>
            </w:pPr>
            <w:r w:rsidRPr="00215EBE">
              <w:rPr>
                <w:i/>
                <w:iCs/>
                <w:color w:val="000000" w:themeColor="text1"/>
                <w:lang w:eastAsia="ru-RU" w:bidi="ru-RU"/>
              </w:rPr>
              <w:t>В отношении питания: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акт и (или) товарная накладная;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154"/>
              </w:tabs>
              <w:spacing w:line="276" w:lineRule="auto"/>
              <w:rPr>
                <w:color w:val="000000" w:themeColor="text1"/>
                <w:lang w:eastAsia="ru-RU" w:bidi="ru-RU"/>
              </w:rPr>
            </w:pPr>
            <w:r w:rsidRPr="00215EBE">
              <w:rPr>
                <w:color w:val="000000" w:themeColor="text1"/>
                <w:lang w:eastAsia="ru-RU" w:bidi="ru-RU"/>
              </w:rPr>
              <w:t>кассовый и (или) товарный чеки* (по</w:t>
            </w:r>
            <w:r w:rsidR="004B525F" w:rsidRPr="00215EBE">
              <w:rPr>
                <w:color w:val="000000" w:themeColor="text1"/>
                <w:lang w:eastAsia="ru-RU" w:bidi="ru-RU"/>
              </w:rPr>
              <w:t xml:space="preserve"> </w:t>
            </w:r>
            <w:r w:rsidRPr="00215EBE">
              <w:rPr>
                <w:color w:val="000000" w:themeColor="text1"/>
                <w:lang w:eastAsia="ru-RU" w:bidi="ru-RU"/>
              </w:rPr>
              <w:t>продуктам,</w:t>
            </w:r>
            <w:r w:rsidR="005B3235">
              <w:rPr>
                <w:color w:val="000000" w:themeColor="text1"/>
                <w:lang w:eastAsia="ru-RU" w:bidi="ru-RU"/>
              </w:rPr>
              <w:t xml:space="preserve"> приобретенным работником </w:t>
            </w:r>
            <w:r w:rsidRPr="00215EBE">
              <w:rPr>
                <w:color w:val="000000" w:themeColor="text1"/>
                <w:lang w:eastAsia="ru-RU" w:bidi="ru-RU"/>
              </w:rPr>
              <w:t>получателя</w:t>
            </w:r>
            <w:r w:rsidR="005B3235">
              <w:rPr>
                <w:color w:val="000000" w:themeColor="text1"/>
                <w:lang w:eastAsia="ru-RU" w:bidi="ru-RU"/>
              </w:rPr>
              <w:t xml:space="preserve"> гранта</w:t>
            </w:r>
            <w:r w:rsidRPr="00215EBE">
              <w:rPr>
                <w:color w:val="000000" w:themeColor="text1"/>
                <w:lang w:eastAsia="ru-RU" w:bidi="ru-RU"/>
              </w:rPr>
              <w:t xml:space="preserve"> с последующим представлением авансового отчета).</w:t>
            </w:r>
          </w:p>
          <w:p w:rsidR="00712C8E" w:rsidRPr="00215EBE" w:rsidRDefault="00C708E8" w:rsidP="00927526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236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договор и (или) счет, меню;</w:t>
            </w:r>
          </w:p>
          <w:p w:rsidR="00C708E8" w:rsidRPr="00215EBE" w:rsidRDefault="00C708E8" w:rsidP="00927526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236"/>
              </w:tabs>
              <w:spacing w:line="276" w:lineRule="auto"/>
              <w:rPr>
                <w:color w:val="000000" w:themeColor="text1"/>
              </w:rPr>
            </w:pPr>
            <w:r w:rsidRPr="00215EBE">
              <w:rPr>
                <w:color w:val="000000" w:themeColor="text1"/>
                <w:lang w:eastAsia="ru-RU" w:bidi="ru-RU"/>
              </w:rPr>
              <w:t>счет-фактура (если подлежит выставлению);</w:t>
            </w:r>
          </w:p>
        </w:tc>
      </w:tr>
      <w:tr w:rsidR="00C708E8" w:rsidRPr="004E6E1F" w:rsidTr="00927526">
        <w:tc>
          <w:tcPr>
            <w:tcW w:w="3114" w:type="dxa"/>
          </w:tcPr>
          <w:p w:rsidR="00C708E8" w:rsidRPr="00215EBE" w:rsidRDefault="00C708E8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Издательские,</w:t>
            </w:r>
          </w:p>
          <w:p w:rsidR="00C708E8" w:rsidRPr="00215EBE" w:rsidRDefault="00C708E8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полиграфические и</w:t>
            </w:r>
          </w:p>
          <w:p w:rsidR="00C708E8" w:rsidRPr="00215EBE" w:rsidRDefault="00C708E8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сопутствующие расходы</w:t>
            </w:r>
          </w:p>
        </w:tc>
        <w:tc>
          <w:tcPr>
            <w:tcW w:w="11446" w:type="dxa"/>
          </w:tcPr>
          <w:p w:rsidR="00C708E8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акты (по услугам);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товарные накладные (по</w:t>
            </w:r>
            <w:r w:rsidR="004B525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изготовленной продукции);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макеты изготовленной продукции;</w:t>
            </w:r>
          </w:p>
          <w:p w:rsidR="00712C8E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авансовые отчеты, кассовые и (или)</w:t>
            </w:r>
            <w:r w:rsidR="004B525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товарные чеки* (по расходам, </w:t>
            </w:r>
            <w:r w:rsidR="005B3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произведенным работниками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получателя </w:t>
            </w:r>
            <w:r w:rsidR="005B3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гранта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последующим представлением авансового отчета).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договоры (если заключаются);</w:t>
            </w:r>
          </w:p>
          <w:p w:rsidR="00712C8E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экземпляры изготовленной продукции;</w:t>
            </w:r>
          </w:p>
          <w:p w:rsidR="00C708E8" w:rsidRPr="00215EBE" w:rsidRDefault="00C708E8" w:rsidP="00927526">
            <w:pPr>
              <w:pStyle w:val="a7"/>
              <w:numPr>
                <w:ilvl w:val="0"/>
                <w:numId w:val="26"/>
              </w:num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счета-фактуры (если подлежат выставлению).</w:t>
            </w:r>
          </w:p>
        </w:tc>
      </w:tr>
      <w:tr w:rsidR="00C708E8" w:rsidRPr="004E6E1F" w:rsidTr="00927526">
        <w:tc>
          <w:tcPr>
            <w:tcW w:w="3114" w:type="dxa"/>
          </w:tcPr>
          <w:p w:rsidR="00C708E8" w:rsidRPr="00215EBE" w:rsidRDefault="00C708E8" w:rsidP="009275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Прочие прямые расходы</w:t>
            </w:r>
          </w:p>
        </w:tc>
        <w:tc>
          <w:tcPr>
            <w:tcW w:w="11446" w:type="dxa"/>
          </w:tcPr>
          <w:p w:rsidR="00C708E8" w:rsidRPr="00215EBE" w:rsidRDefault="00C708E8" w:rsidP="00927526">
            <w:pPr>
              <w:tabs>
                <w:tab w:val="left" w:pos="453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документов определяется исходя из существа расходов, в том числе с учетом положений, приведенных выше. Как правило,</w:t>
            </w:r>
            <w:r w:rsidR="004B525F"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требуются договоры и акты.</w:t>
            </w:r>
          </w:p>
        </w:tc>
      </w:tr>
    </w:tbl>
    <w:p w:rsidR="008A4D60" w:rsidRPr="004E6E1F" w:rsidRDefault="00C708E8">
      <w:pPr>
        <w:rPr>
          <w:rFonts w:ascii="PT Astra Serif" w:hAnsi="PT Astra Serif" w:cs="Times New Roman"/>
        </w:rPr>
      </w:pPr>
      <w:r w:rsidRPr="004E6E1F">
        <w:rPr>
          <w:rFonts w:ascii="PT Astra Serif" w:hAnsi="PT Astra Serif" w:cs="Times New Roman"/>
        </w:rPr>
        <w:t>* Товарный чек не требуется, если в кассовом чеке указаны все товары и их цена.</w:t>
      </w:r>
    </w:p>
    <w:p w:rsidR="00215EBE" w:rsidRPr="00927526" w:rsidRDefault="00215EBE" w:rsidP="00C708E8">
      <w:pPr>
        <w:pStyle w:val="11"/>
        <w:shd w:val="clear" w:color="auto" w:fill="auto"/>
        <w:spacing w:after="320"/>
        <w:ind w:firstLine="0"/>
        <w:jc w:val="center"/>
        <w:rPr>
          <w:rFonts w:ascii="PT Astra Serif" w:hAnsi="PT Astra Serif"/>
          <w:color w:val="2F2F2F"/>
          <w:lang w:bidi="en-US"/>
        </w:rPr>
      </w:pPr>
    </w:p>
    <w:p w:rsidR="00C708E8" w:rsidRPr="00215EBE" w:rsidRDefault="00C708E8" w:rsidP="00C708E8">
      <w:pPr>
        <w:pStyle w:val="11"/>
        <w:shd w:val="clear" w:color="auto" w:fill="auto"/>
        <w:spacing w:after="320"/>
        <w:ind w:firstLine="0"/>
        <w:jc w:val="center"/>
        <w:rPr>
          <w:rFonts w:ascii="PT Astra Serif" w:hAnsi="PT Astra Serif"/>
          <w:b/>
        </w:rPr>
      </w:pPr>
      <w:r w:rsidRPr="00215EBE">
        <w:rPr>
          <w:rFonts w:ascii="PT Astra Serif" w:hAnsi="PT Astra Serif"/>
          <w:b/>
          <w:color w:val="2F2F2F"/>
          <w:lang w:val="en-US" w:bidi="en-US"/>
        </w:rPr>
        <w:t>III</w:t>
      </w:r>
      <w:r w:rsidRPr="00215EBE">
        <w:rPr>
          <w:rFonts w:ascii="PT Astra Serif" w:hAnsi="PT Astra Serif"/>
          <w:b/>
          <w:color w:val="2F2F2F"/>
          <w:lang w:bidi="en-US"/>
        </w:rPr>
        <w:t xml:space="preserve">. </w:t>
      </w:r>
      <w:r w:rsidRPr="00215EBE">
        <w:rPr>
          <w:rFonts w:ascii="PT Astra Serif" w:hAnsi="PT Astra Serif"/>
          <w:b/>
          <w:color w:val="2F2F2F"/>
          <w:lang w:eastAsia="ru-RU" w:bidi="ru-RU"/>
        </w:rPr>
        <w:t>Состав расходов по статьям расходов бюджета проекта</w:t>
      </w:r>
    </w:p>
    <w:p w:rsidR="00C708E8" w:rsidRPr="004E6E1F" w:rsidRDefault="00C708E8" w:rsidP="00C708E8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2" w:name="bookmark1"/>
      <w:r w:rsidRPr="004E6E1F">
        <w:rPr>
          <w:rFonts w:ascii="PT Astra Serif" w:hAnsi="PT Astra Serif"/>
          <w:color w:val="000000"/>
          <w:lang w:eastAsia="ru-RU" w:bidi="ru-RU"/>
        </w:rPr>
        <w:t>К расходам по статье «Оплата труда» относятся:</w:t>
      </w:r>
      <w:bookmarkEnd w:id="2"/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суммы, начисленные по должностным окладам в соответствии с трудовыми договорами, при условии, что такие трудовые договоры: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заключены с работниками, состоящими в штате получателя 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гранта </w:t>
      </w:r>
      <w:r w:rsidRPr="004E6E1F">
        <w:rPr>
          <w:rFonts w:ascii="PT Astra Serif" w:hAnsi="PT Astra Serif"/>
          <w:color w:val="000000"/>
          <w:lang w:eastAsia="ru-RU" w:bidi="ru-RU"/>
        </w:rPr>
        <w:t>(работавшими до получения гранта и вновь принятыми);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предусматривают трудовую функцию, выполняемую работником в рамках реализации проекта (если трудовая функция, описанная в трудовом договоре, заключенном до получения гранта, соответствует функционалу работника в проекте, изменение такого трудового договора не требуется; в обратном случае необходимо заключить дополнительное соглашение об изменении условий трудового договора; с новыми работни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ками, принимаемыми в штат </w:t>
      </w:r>
      <w:r w:rsidRPr="004E6E1F">
        <w:rPr>
          <w:rFonts w:ascii="PT Astra Serif" w:hAnsi="PT Astra Serif"/>
          <w:color w:val="000000"/>
          <w:lang w:eastAsia="ru-RU" w:bidi="ru-RU"/>
        </w:rPr>
        <w:t>получателя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 граната</w:t>
      </w:r>
      <w:r w:rsidRPr="004E6E1F">
        <w:rPr>
          <w:rFonts w:ascii="PT Astra Serif" w:hAnsi="PT Astra Serif"/>
          <w:color w:val="000000"/>
          <w:lang w:eastAsia="ru-RU" w:bidi="ru-RU"/>
        </w:rPr>
        <w:t>, заключаются трудовые договоры, включающие соответствующую трудовую функцию);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оплата отпусков и денежные компенсации за неиспользованный отпуск (строго в части, пропорциональной</w:t>
      </w:r>
    </w:p>
    <w:p w:rsidR="00C708E8" w:rsidRPr="004E6E1F" w:rsidRDefault="00C708E8" w:rsidP="00C708E8">
      <w:pPr>
        <w:pStyle w:val="11"/>
        <w:shd w:val="clear" w:color="auto" w:fill="auto"/>
        <w:ind w:firstLine="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отработанному времени по проекту - по отношению ко всему рабочему времени работника за период, за который рассчитывается выплата)</w:t>
      </w:r>
      <w:r w:rsidR="00221838" w:rsidRPr="004E6E1F">
        <w:rPr>
          <w:rFonts w:ascii="PT Astra Serif" w:hAnsi="PT Astra Serif"/>
          <w:color w:val="000000"/>
          <w:lang w:eastAsia="ru-RU" w:bidi="ru-RU"/>
        </w:rPr>
        <w:t>, при условии планирования в смете расходов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выплата пособий по временной нетрудоспособности при утрате трудоспособности вследствие заболевания или </w:t>
      </w:r>
      <w:r w:rsidRPr="004E6E1F">
        <w:rPr>
          <w:rFonts w:ascii="PT Astra Serif" w:hAnsi="PT Astra Serif"/>
          <w:color w:val="000000"/>
          <w:lang w:eastAsia="ru-RU" w:bidi="ru-RU"/>
        </w:rPr>
        <w:lastRenderedPageBreak/>
        <w:t>травмы за первые три дня такой нетрудоспособности (при утрате трудоспособности в период работы по проекту);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суммы, начисленные за оказание работника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ми, не состоящими в штате </w:t>
      </w:r>
      <w:r w:rsidRPr="004E6E1F">
        <w:rPr>
          <w:rFonts w:ascii="PT Astra Serif" w:hAnsi="PT Astra Serif"/>
          <w:color w:val="000000"/>
          <w:lang w:eastAsia="ru-RU" w:bidi="ru-RU"/>
        </w:rPr>
        <w:t>получателя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 гранта</w:t>
      </w:r>
      <w:r w:rsidRPr="004E6E1F">
        <w:rPr>
          <w:rFonts w:ascii="PT Astra Serif" w:hAnsi="PT Astra Serif"/>
          <w:color w:val="000000"/>
          <w:lang w:eastAsia="ru-RU" w:bidi="ru-RU"/>
        </w:rPr>
        <w:t xml:space="preserve"> (привлеченными специалистами), услуг, необходимых для реализации проекта, по договорам гражданско-правового характера;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C708E8" w:rsidRPr="004E6E1F" w:rsidRDefault="00C708E8" w:rsidP="00C708E8">
      <w:pPr>
        <w:pStyle w:val="11"/>
        <w:shd w:val="clear" w:color="auto" w:fill="auto"/>
        <w:ind w:left="720" w:right="5940" w:firstLine="0"/>
        <w:jc w:val="left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По статье «Оплата труда» за счет гранта не могут выплачиваться: начисления стимулирующего характера, в том числе премии; пособия по временной нетрудоспособности;</w:t>
      </w:r>
    </w:p>
    <w:p w:rsidR="00C708E8" w:rsidRPr="004E6E1F" w:rsidRDefault="00C708E8" w:rsidP="00C708E8">
      <w:pPr>
        <w:pStyle w:val="11"/>
        <w:shd w:val="clear" w:color="auto" w:fill="auto"/>
        <w:spacing w:after="16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любые выплаты по договорам гражданско-правового характера индивидуальным предпринимателям.</w:t>
      </w:r>
    </w:p>
    <w:p w:rsidR="00C708E8" w:rsidRPr="004E6E1F" w:rsidRDefault="00C708E8" w:rsidP="00C708E8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3" w:name="bookmark2"/>
      <w:r w:rsidRPr="004E6E1F">
        <w:rPr>
          <w:rFonts w:ascii="PT Astra Serif" w:hAnsi="PT Astra Serif"/>
          <w:color w:val="000000"/>
          <w:lang w:eastAsia="ru-RU" w:bidi="ru-RU"/>
        </w:rPr>
        <w:t>К расходам по статье «Командировочные расходы» относятся:</w:t>
      </w:r>
      <w:bookmarkEnd w:id="3"/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проезд к месту командировки и обратно к месту постоянной работы: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воздушным транспортом - по тарифу </w:t>
      </w:r>
      <w:proofErr w:type="spellStart"/>
      <w:r w:rsidRPr="004E6E1F">
        <w:rPr>
          <w:rFonts w:ascii="PT Astra Serif" w:hAnsi="PT Astra Serif"/>
          <w:color w:val="000000"/>
          <w:lang w:eastAsia="ru-RU" w:bidi="ru-RU"/>
        </w:rPr>
        <w:t>экономкласса</w:t>
      </w:r>
      <w:proofErr w:type="spellEnd"/>
      <w:r w:rsidRPr="004E6E1F">
        <w:rPr>
          <w:rFonts w:ascii="PT Astra Serif" w:hAnsi="PT Astra Serif"/>
          <w:color w:val="000000"/>
          <w:lang w:eastAsia="ru-RU" w:bidi="ru-RU"/>
        </w:rPr>
        <w:t xml:space="preserve"> (при этом рекомендуется заблаговременная покупка билетов по наиболее выгодной цене);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железнодорожным транспортом - в купейных вагонах (с 4-местными купе), вагонах с местами для сидения стандартной компоновки (</w:t>
      </w:r>
      <w:proofErr w:type="spellStart"/>
      <w:r w:rsidRPr="004E6E1F">
        <w:rPr>
          <w:rFonts w:ascii="PT Astra Serif" w:hAnsi="PT Astra Serif"/>
          <w:color w:val="000000"/>
          <w:lang w:eastAsia="ru-RU" w:bidi="ru-RU"/>
        </w:rPr>
        <w:t>экономкласса</w:t>
      </w:r>
      <w:proofErr w:type="spellEnd"/>
      <w:r w:rsidRPr="004E6E1F">
        <w:rPr>
          <w:rFonts w:ascii="PT Astra Serif" w:hAnsi="PT Astra Serif"/>
          <w:color w:val="000000"/>
          <w:lang w:eastAsia="ru-RU" w:bidi="ru-RU"/>
        </w:rPr>
        <w:t>) или вагонах классом ниже;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по проживанию в стандартном однокомнатном номере или найму (аренде) квартиры, комнаты в жилом доме или квартире, при этом при найме (аренде) квартиры, комнаты в жилом доме или квартире стоимость не должна превышать 3000 рублей на человека в сутки;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суточные в размерах, установленных локальным нормативным актом </w:t>
      </w:r>
      <w:proofErr w:type="spellStart"/>
      <w:r w:rsidR="00221838" w:rsidRPr="004E6E1F">
        <w:rPr>
          <w:rFonts w:ascii="PT Astra Serif" w:hAnsi="PT Astra Serif"/>
          <w:color w:val="000000"/>
          <w:lang w:eastAsia="ru-RU" w:bidi="ru-RU"/>
        </w:rPr>
        <w:t>грантополучателя</w:t>
      </w:r>
      <w:proofErr w:type="spellEnd"/>
      <w:r w:rsidR="00221838" w:rsidRPr="004E6E1F">
        <w:rPr>
          <w:rFonts w:ascii="PT Astra Serif" w:hAnsi="PT Astra Serif"/>
          <w:color w:val="000000"/>
          <w:lang w:eastAsia="ru-RU" w:bidi="ru-RU"/>
        </w:rPr>
        <w:t>, но не более 25</w:t>
      </w:r>
      <w:r w:rsidRPr="004E6E1F">
        <w:rPr>
          <w:rFonts w:ascii="PT Astra Serif" w:hAnsi="PT Astra Serif"/>
          <w:color w:val="000000"/>
          <w:lang w:eastAsia="ru-RU" w:bidi="ru-RU"/>
        </w:rPr>
        <w:t>0 рублей за каждый день нахождения в командировке на территории Российской Федерации;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проезд в аэропорт или на вокзал в местах отправления, назначения или пересадок, электропоездом (аэроэкспрессом) в вагоне с местами для сидения стандартной компоновки (</w:t>
      </w:r>
      <w:proofErr w:type="spellStart"/>
      <w:r w:rsidRPr="004E6E1F">
        <w:rPr>
          <w:rFonts w:ascii="PT Astra Serif" w:hAnsi="PT Astra Serif"/>
          <w:color w:val="000000"/>
          <w:lang w:eastAsia="ru-RU" w:bidi="ru-RU"/>
        </w:rPr>
        <w:t>экономкласса</w:t>
      </w:r>
      <w:proofErr w:type="spellEnd"/>
      <w:r w:rsidRPr="004E6E1F">
        <w:rPr>
          <w:rFonts w:ascii="PT Astra Serif" w:hAnsi="PT Astra Serif"/>
          <w:color w:val="000000"/>
          <w:lang w:eastAsia="ru-RU" w:bidi="ru-RU"/>
        </w:rPr>
        <w:t>) или на автобусе, маршрутном такси.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Указанные расходы могут возмещаться за счет гранта работникам, состоящим в штате </w:t>
      </w:r>
      <w:proofErr w:type="spellStart"/>
      <w:r w:rsidRPr="004E6E1F">
        <w:rPr>
          <w:rFonts w:ascii="PT Astra Serif" w:hAnsi="PT Astra Serif"/>
          <w:color w:val="000000"/>
          <w:lang w:eastAsia="ru-RU" w:bidi="ru-RU"/>
        </w:rPr>
        <w:t>грантополучателя</w:t>
      </w:r>
      <w:proofErr w:type="spellEnd"/>
      <w:r w:rsidRPr="004E6E1F">
        <w:rPr>
          <w:rFonts w:ascii="PT Astra Serif" w:hAnsi="PT Astra Serif"/>
          <w:color w:val="000000"/>
          <w:lang w:eastAsia="ru-RU" w:bidi="ru-RU"/>
        </w:rPr>
        <w:t xml:space="preserve"> и занятым в реализации проекта, по авансовым отчетам (безналичным перечислением на банковские карты или счета работников) или путем прямой оплаты проезда, проживания. Командировки при этом должны быть непосредственно связаны с реализацией проекта</w:t>
      </w:r>
      <w:r w:rsidR="009219A7" w:rsidRPr="004E6E1F">
        <w:rPr>
          <w:rFonts w:ascii="PT Astra Serif" w:hAnsi="PT Astra Serif"/>
          <w:color w:val="000000"/>
          <w:lang w:eastAsia="ru-RU" w:bidi="ru-RU"/>
        </w:rPr>
        <w:t xml:space="preserve"> и запланированы в смете проекта</w:t>
      </w:r>
      <w:r w:rsidRPr="004E6E1F">
        <w:rPr>
          <w:rFonts w:ascii="PT Astra Serif" w:hAnsi="PT Astra Serif"/>
          <w:color w:val="000000"/>
          <w:lang w:eastAsia="ru-RU" w:bidi="ru-RU"/>
        </w:rPr>
        <w:t>.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lastRenderedPageBreak/>
        <w:t>По статье «Командировочные расходы» за счет гранта не могут возмещаться расходы, связанные с обслуживанием в барах и ресторанах, дополнительным обслуживанием в номере, пользованием рекреационно-оздоровительными объектами.</w:t>
      </w:r>
    </w:p>
    <w:p w:rsidR="00C708E8" w:rsidRPr="004E6E1F" w:rsidRDefault="00C708E8" w:rsidP="00C708E8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4" w:name="bookmark3"/>
      <w:r w:rsidRPr="004E6E1F">
        <w:rPr>
          <w:rFonts w:ascii="PT Astra Serif" w:hAnsi="PT Astra Serif"/>
          <w:color w:val="000000"/>
          <w:lang w:eastAsia="ru-RU" w:bidi="ru-RU"/>
        </w:rPr>
        <w:t>К расходам по статье «Офисные расходы» относятся:</w:t>
      </w:r>
      <w:bookmarkEnd w:id="4"/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арендные платежи за арендуемые помещения (за исключением помещений для проведения отдельных мероприятий) в части площади таких помещений, используемой для реализации проекта;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в части площади указанных помещений, используемой для реализации проекта;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приобретение и ремонт компьютеров, многофункциональных устройств, камер, фотоаппаратов, принтеров, сканеров и другого компьютерного оборудования;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приобретение программного обеспечения (программ для ЭВМ и баз данных, реализуемых на материальном носителе и (или) в электронном виде по каналам связи независимо от вида договора, в том числе в виде экземпляров программы для ЭВМ или базы данных, прав использования программы для Э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ВМ или базы данных на ЭВМ </w:t>
      </w:r>
      <w:r w:rsidRPr="004E6E1F">
        <w:rPr>
          <w:rFonts w:ascii="PT Astra Serif" w:hAnsi="PT Astra Serif"/>
          <w:color w:val="000000"/>
          <w:lang w:eastAsia="ru-RU" w:bidi="ru-RU"/>
        </w:rPr>
        <w:t xml:space="preserve">получателя 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гранта </w:t>
      </w:r>
      <w:r w:rsidRPr="004E6E1F">
        <w:rPr>
          <w:rFonts w:ascii="PT Astra Serif" w:hAnsi="PT Astra Serif"/>
          <w:color w:val="000000"/>
          <w:lang w:eastAsia="ru-RU" w:bidi="ru-RU"/>
        </w:rPr>
        <w:t>или без размещения программы для Э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ВМ или базы данных на ЭВМ </w:t>
      </w:r>
      <w:r w:rsidRPr="004E6E1F">
        <w:rPr>
          <w:rFonts w:ascii="PT Astra Serif" w:hAnsi="PT Astra Serif"/>
          <w:color w:val="000000"/>
          <w:lang w:eastAsia="ru-RU" w:bidi="ru-RU"/>
        </w:rPr>
        <w:t>получателя</w:t>
      </w:r>
      <w:r w:rsidR="005B3235">
        <w:rPr>
          <w:rFonts w:ascii="PT Astra Serif" w:hAnsi="PT Astra Serif"/>
          <w:color w:val="000000"/>
          <w:lang w:eastAsia="ru-RU" w:bidi="ru-RU"/>
        </w:rPr>
        <w:t xml:space="preserve"> граната</w:t>
      </w:r>
      <w:r w:rsidRPr="004E6E1F">
        <w:rPr>
          <w:rFonts w:ascii="PT Astra Serif" w:hAnsi="PT Astra Serif"/>
          <w:color w:val="000000"/>
          <w:lang w:eastAsia="ru-RU" w:bidi="ru-RU"/>
        </w:rPr>
        <w:t xml:space="preserve"> с использованием посредством информационно-телекоммуникационных сетей);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арендные платежи за арендуемое компьютерное оборудование;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приобретение и ремонт мебели;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оплату услуг связи, почтовых услуг;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канцелярские товары и расходные материалы;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оплату услуг, связанных с использованием электронного документооборота;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оплату услуг банков.</w:t>
      </w:r>
    </w:p>
    <w:p w:rsidR="00C708E8" w:rsidRPr="004E6E1F" w:rsidRDefault="00C708E8" w:rsidP="00C708E8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5" w:name="bookmark4"/>
      <w:r w:rsidRPr="004E6E1F">
        <w:rPr>
          <w:rFonts w:ascii="PT Astra Serif" w:hAnsi="PT Astra Serif"/>
          <w:color w:val="000000"/>
          <w:lang w:eastAsia="ru-RU" w:bidi="ru-RU"/>
        </w:rPr>
        <w:t>К расходам по статье «Приобретение, аренда специализированного оборудования, инвентаря и сопутствующие расходы» относятся:</w:t>
      </w:r>
      <w:bookmarkEnd w:id="5"/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приобретение специализированного оборудования (лабораторного, медицинского, спортивного и иного), технических средств реабилитации, инструментов, приспособлений, инвентаря, приборов, спецодежды и других средств индивидуальной и коллективной защиты;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lastRenderedPageBreak/>
        <w:t>арендные платежи за специализированное оборудование, инвентарь в случае его аренды;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оплату услуг по монтажу, техническому обслуживанию, ремонту специализированного оборудования;</w:t>
      </w:r>
    </w:p>
    <w:p w:rsidR="00C708E8" w:rsidRPr="004E6E1F" w:rsidRDefault="00C708E8" w:rsidP="009219A7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приобретение комплектующих изделий и материалов, необходимых для эксплуатации</w:t>
      </w:r>
      <w:r w:rsidR="009219A7" w:rsidRPr="004E6E1F">
        <w:rPr>
          <w:rFonts w:ascii="PT Astra Serif" w:hAnsi="PT Astra Serif"/>
        </w:rPr>
        <w:t xml:space="preserve"> </w:t>
      </w:r>
      <w:r w:rsidRPr="004E6E1F">
        <w:rPr>
          <w:rFonts w:ascii="PT Astra Serif" w:hAnsi="PT Astra Serif"/>
          <w:color w:val="000000"/>
          <w:lang w:eastAsia="ru-RU" w:bidi="ru-RU"/>
        </w:rPr>
        <w:t>специализированного оборудования.</w:t>
      </w:r>
    </w:p>
    <w:p w:rsidR="009219A7" w:rsidRPr="004E6E1F" w:rsidRDefault="009219A7" w:rsidP="00C708E8">
      <w:pPr>
        <w:pStyle w:val="11"/>
        <w:shd w:val="clear" w:color="auto" w:fill="auto"/>
        <w:ind w:firstLine="720"/>
        <w:rPr>
          <w:rFonts w:ascii="PT Astra Serif" w:hAnsi="PT Astra Serif"/>
          <w:b/>
          <w:bCs/>
          <w:color w:val="000000"/>
          <w:lang w:eastAsia="ru-RU" w:bidi="ru-RU"/>
        </w:rPr>
      </w:pP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b/>
          <w:bCs/>
          <w:color w:val="000000"/>
          <w:lang w:eastAsia="ru-RU" w:bidi="ru-RU"/>
        </w:rPr>
        <w:t xml:space="preserve">К расходам по статье «Разработка и поддержка сайтов, информационных систем и иные аналогичные расходы» относятся </w:t>
      </w:r>
      <w:r w:rsidRPr="004E6E1F">
        <w:rPr>
          <w:rFonts w:ascii="PT Astra Serif" w:hAnsi="PT Astra Serif"/>
          <w:color w:val="000000"/>
          <w:lang w:eastAsia="ru-RU" w:bidi="ru-RU"/>
        </w:rPr>
        <w:t>расходы, связанные с разработкой, модификацией, сопровождением, технической поддержкой информационных систем, созданием, поддержкой и хостингом сайтов в информационно-телекоммуникационной сети «Интернет», регистрацией доменных имен.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Такие расходы производятся по гражданско-правовым договорам, предусматривающим оказание соответствующих услуг, работ.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Оплата услуг, связанных с хостингом и регистрацией доменных имен, может производиться по выставленным счетам без заключения отдельного договора.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b/>
          <w:bCs/>
          <w:color w:val="000000"/>
          <w:lang w:eastAsia="ru-RU" w:bidi="ru-RU"/>
        </w:rPr>
        <w:t xml:space="preserve">К расходам по статье «Оплата юридических, информационных, консультационных услуг и иные аналогичные расходы» относятся </w:t>
      </w:r>
      <w:r w:rsidRPr="004E6E1F">
        <w:rPr>
          <w:rFonts w:ascii="PT Astra Serif" w:hAnsi="PT Astra Serif"/>
          <w:color w:val="000000"/>
          <w:lang w:eastAsia="ru-RU" w:bidi="ru-RU"/>
        </w:rPr>
        <w:t>расходы, связанные с оплатой аудиторских, информационных, консультационных, юридических услуг, нотариальных действий и других услуг, оказываемых при осуществлении нотариальной деятельности, уплатой государственных пошлин, судебных расходов и процессуальных издержек.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Расходы, связанные с оплатой аудиторских, информационных, консультационных, юридических услуг, производятся по гражданско-правовым договорам, предусматривающим оказание соответствующих услуг.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Оплата нотариальных действий и других услуг, оказываемых при осуществлении нотариальной деятельности, может производиться по выставленным счетам без заключения отдельного договора.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Государственная пошлина уплачивается платежными поручениями в соответствии с Налоговым кодексом Российской Федерации.</w:t>
      </w:r>
    </w:p>
    <w:p w:rsidR="00C708E8" w:rsidRPr="004E6E1F" w:rsidRDefault="00C708E8" w:rsidP="00C708E8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6" w:name="bookmark5"/>
      <w:r w:rsidRPr="004E6E1F">
        <w:rPr>
          <w:rFonts w:ascii="PT Astra Serif" w:hAnsi="PT Astra Serif"/>
          <w:color w:val="000000"/>
          <w:lang w:eastAsia="ru-RU" w:bidi="ru-RU"/>
        </w:rPr>
        <w:t>К расходам по статье «Расходы на проведение мероприятий» относятся:</w:t>
      </w:r>
      <w:bookmarkEnd w:id="6"/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арендные платежи за помещения и оборудование, арендуемые для подготовки и (или) проведения мероприятий, а также сопутствующие расходы (включая страхование, приобретение топлива, воды, энергии всех видов, перевозку, сборку и демонтаж оборудования);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lastRenderedPageBreak/>
        <w:t>расходы на приобретение и (или) изготовление раздаточных материалов, оплату услуг по подготовке раздаточных материалов, презентаций;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оплата услуг связи для подготовки и (или) проведения мероприятий;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оплату услуг по организации и проведению мероприятий, услуг по подготовке сценарных планов;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расходы на проезд к месту проведения мероприятий и обратно, проживание и питание участников мероприятий, а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>также, если такие расходы не предусмотрены по статье «Командировочные расходы», участников деятельности по подготовке и проведению мероприятий (включая добровольцев). Такие расходы могут производиться путем прямой оплаты проезда, проживания, питания, а также посредством перечисления денежных средств некоммерческим организациям, командирующим соответствующих участников из числа их штатных работников, по договорам пожертвования либо добровольцам по гражданско-правовым договорам с ними.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b/>
          <w:bCs/>
          <w:color w:val="000000"/>
          <w:lang w:eastAsia="ru-RU" w:bidi="ru-RU"/>
        </w:rPr>
        <w:t xml:space="preserve">К расходам по статье «Издательские, полиграфические и сопутствующие расходы» относятся </w:t>
      </w:r>
      <w:r w:rsidRPr="004E6E1F">
        <w:rPr>
          <w:rFonts w:ascii="PT Astra Serif" w:hAnsi="PT Astra Serif"/>
          <w:color w:val="000000"/>
          <w:lang w:eastAsia="ru-RU" w:bidi="ru-RU"/>
        </w:rPr>
        <w:t>расходы, связанные с подготовкой макетов и изданием альбомов, альманахов, атласов, афиш, бюллетеней, брошюр, буклетов, газет, журналов, календарей, книг, открыток, пригласительных билетов, сборников.</w:t>
      </w:r>
    </w:p>
    <w:p w:rsidR="00C708E8" w:rsidRPr="004E6E1F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b/>
          <w:bCs/>
          <w:color w:val="000000"/>
          <w:lang w:eastAsia="ru-RU" w:bidi="ru-RU"/>
        </w:rPr>
        <w:t xml:space="preserve">К расходам по статье «Прочие прямые расходы» </w:t>
      </w:r>
      <w:r w:rsidRPr="004E6E1F">
        <w:rPr>
          <w:rFonts w:ascii="PT Astra Serif" w:hAnsi="PT Astra Serif"/>
          <w:color w:val="000000"/>
          <w:lang w:eastAsia="ru-RU" w:bidi="ru-RU"/>
        </w:rPr>
        <w:t xml:space="preserve">относятся расходы, прямо предусмотренные в бюджете проекта в составе заявки на участие в конкурсе на предоставление грантов </w:t>
      </w:r>
      <w:r w:rsidR="00DE5953" w:rsidRPr="004E6E1F">
        <w:rPr>
          <w:rFonts w:ascii="PT Astra Serif" w:hAnsi="PT Astra Serif"/>
          <w:color w:val="000000"/>
          <w:lang w:eastAsia="ru-RU" w:bidi="ru-RU"/>
        </w:rPr>
        <w:t>Правительства Тульской области в форме субсидий социально-ориентированным некоммерческим организациям</w:t>
      </w:r>
      <w:r w:rsidRPr="004E6E1F">
        <w:rPr>
          <w:rFonts w:ascii="PT Astra Serif" w:hAnsi="PT Astra Serif"/>
          <w:color w:val="000000"/>
          <w:lang w:eastAsia="ru-RU" w:bidi="ru-RU"/>
        </w:rPr>
        <w:t xml:space="preserve"> и не относящиеся к другим статьям расходов.</w:t>
      </w:r>
    </w:p>
    <w:p w:rsidR="00C708E8" w:rsidRPr="004E6E1F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</w:rPr>
      </w:pPr>
      <w:r w:rsidRPr="004E6E1F">
        <w:rPr>
          <w:rFonts w:ascii="PT Astra Serif" w:hAnsi="PT Astra Serif"/>
          <w:color w:val="000000"/>
          <w:lang w:eastAsia="ru-RU" w:bidi="ru-RU"/>
        </w:rPr>
        <w:t xml:space="preserve">При этом вне зависимости от содержания бюджета проекта не допускается осуществление за счет гранта расходов, указанных в пункте 3 раздела </w:t>
      </w:r>
      <w:r w:rsidRPr="004E6E1F">
        <w:rPr>
          <w:rFonts w:ascii="PT Astra Serif" w:hAnsi="PT Astra Serif"/>
          <w:color w:val="000000"/>
          <w:lang w:val="en-US" w:bidi="en-US"/>
        </w:rPr>
        <w:t>I</w:t>
      </w:r>
      <w:r w:rsidRPr="004E6E1F">
        <w:rPr>
          <w:rFonts w:ascii="PT Astra Serif" w:hAnsi="PT Astra Serif"/>
          <w:color w:val="000000"/>
          <w:lang w:bidi="en-US"/>
        </w:rPr>
        <w:t xml:space="preserve"> </w:t>
      </w:r>
      <w:r w:rsidRPr="004E6E1F">
        <w:rPr>
          <w:rFonts w:ascii="PT Astra Serif" w:hAnsi="PT Astra Serif"/>
          <w:color w:val="000000"/>
          <w:lang w:eastAsia="ru-RU" w:bidi="ru-RU"/>
        </w:rPr>
        <w:t>настоящего документа.</w:t>
      </w:r>
    </w:p>
    <w:p w:rsidR="00C708E8" w:rsidRPr="00215EBE" w:rsidRDefault="00C708E8" w:rsidP="00C708E8">
      <w:pPr>
        <w:pStyle w:val="11"/>
        <w:shd w:val="clear" w:color="auto" w:fill="auto"/>
        <w:spacing w:after="320"/>
        <w:ind w:firstLine="0"/>
        <w:jc w:val="center"/>
        <w:rPr>
          <w:rFonts w:ascii="PT Astra Serif" w:hAnsi="PT Astra Serif"/>
          <w:b/>
        </w:rPr>
      </w:pPr>
      <w:r w:rsidRPr="00215EBE">
        <w:rPr>
          <w:rFonts w:ascii="PT Astra Serif" w:hAnsi="PT Astra Serif"/>
          <w:b/>
          <w:color w:val="2F2F2F"/>
          <w:lang w:val="en-US" w:bidi="en-US"/>
        </w:rPr>
        <w:t>IV</w:t>
      </w:r>
      <w:r w:rsidRPr="00215EBE">
        <w:rPr>
          <w:rFonts w:ascii="PT Astra Serif" w:hAnsi="PT Astra Serif"/>
          <w:b/>
          <w:color w:val="2F2F2F"/>
          <w:lang w:bidi="en-US"/>
        </w:rPr>
        <w:t xml:space="preserve">. </w:t>
      </w:r>
      <w:r w:rsidRPr="00215EBE">
        <w:rPr>
          <w:rFonts w:ascii="PT Astra Serif" w:hAnsi="PT Astra Serif"/>
          <w:b/>
          <w:color w:val="2F2F2F"/>
          <w:lang w:eastAsia="ru-RU" w:bidi="ru-RU"/>
        </w:rPr>
        <w:t>Требования по ведению бухгалтерского учета</w:t>
      </w:r>
    </w:p>
    <w:p w:rsidR="00C708E8" w:rsidRPr="00215EBE" w:rsidRDefault="00C708E8" w:rsidP="00C708E8">
      <w:pPr>
        <w:pStyle w:val="10"/>
        <w:keepNext/>
        <w:keepLines/>
        <w:shd w:val="clear" w:color="auto" w:fill="auto"/>
        <w:rPr>
          <w:rFonts w:ascii="PT Astra Serif" w:hAnsi="PT Astra Serif"/>
          <w:color w:val="000000" w:themeColor="text1"/>
        </w:rPr>
      </w:pPr>
      <w:bookmarkStart w:id="7" w:name="bookmark6"/>
      <w:proofErr w:type="spellStart"/>
      <w:r w:rsidRPr="00215EBE">
        <w:rPr>
          <w:rFonts w:ascii="PT Astra Serif" w:hAnsi="PT Astra Serif"/>
          <w:color w:val="000000" w:themeColor="text1"/>
          <w:lang w:eastAsia="ru-RU" w:bidi="ru-RU"/>
        </w:rPr>
        <w:t>Грантополучатель</w:t>
      </w:r>
      <w:proofErr w:type="spellEnd"/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 обязан вести бухгалтерский учет в соответствии с Федеральным законом от 6 декабря 2011 г. № 402-ФЗ «О бухгалтерском учете» и нормативными правовыми актами Минфина России, в том числе:</w:t>
      </w:r>
      <w:bookmarkEnd w:id="7"/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Положением по бухгалтерскому учету ПБУ 1/2008 «Учетная политика организации», утвержденным приказом Минфина России от 6 октября 2008 г. № 106н;</w:t>
      </w:r>
    </w:p>
    <w:p w:rsidR="00C708E8" w:rsidRPr="00215EBE" w:rsidRDefault="00C708E8" w:rsidP="00C708E8">
      <w:pPr>
        <w:pStyle w:val="11"/>
        <w:shd w:val="clear" w:color="auto" w:fill="auto"/>
        <w:spacing w:after="320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Положением по бухгалтерскому учету ПБУ 4/99 «Бухгалтерская отчетность организации», утвержденным приказом Минфина России от 6 июля 1999 г. № 43н;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lastRenderedPageBreak/>
        <w:t>Положением по бухгалтерскому учету ПБУ 6/01 «Учет основных средств», утвержденным приказом Минфина России от 30 марта 2001 г. № 26н;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Положением по бухгалтерскому учету ПБУ 8/01 «Оценочные обязательства, условные обязательства и условные активы», утвержденным приказом Минфина России от 13 декабря 2010 г. № 167н;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Положением по бухгалтерскому учету ПБУ 10/99 «Расходы организации», утвержденным приказом Минфина России от 6 мая 1999 г. № 33н;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Положением по бухгалтерскому учету ПБУ 14/07 «Учет нематериальных активов», утвержденным приказом Минфина России от 27 декабря 2007 г. № 153н;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Планом счетов бухгалтерского учета финансово-хозяйственной деятельности организаций, утвержденным приказом Минфина России от 31 октября 2000 г. № 94н,</w:t>
      </w:r>
    </w:p>
    <w:p w:rsidR="00C708E8" w:rsidRPr="00215EBE" w:rsidRDefault="00C708E8" w:rsidP="00C708E8">
      <w:pPr>
        <w:pStyle w:val="11"/>
        <w:shd w:val="clear" w:color="auto" w:fill="auto"/>
        <w:spacing w:after="320"/>
        <w:ind w:firstLine="720"/>
        <w:jc w:val="left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приказом Минфина России от 2 июля 2010 г. № 66 «О формах бухгалтерской отчетности организаций».</w:t>
      </w:r>
    </w:p>
    <w:p w:rsidR="00C708E8" w:rsidRPr="00215EBE" w:rsidRDefault="005B3235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lang w:eastAsia="ru-RU" w:bidi="ru-RU"/>
        </w:rPr>
        <w:t>П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 xml:space="preserve">олучатель </w:t>
      </w:r>
      <w:r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>вправе применять упрощенные способы ведения бухгалтерского учета, а его руководитель - принять ведения бухгалтерского учета лично на себя, за исключением следующих случаев:</w:t>
      </w:r>
    </w:p>
    <w:p w:rsidR="00C708E8" w:rsidRPr="00215EBE" w:rsidRDefault="00C708E8" w:rsidP="00C708E8">
      <w:pPr>
        <w:pStyle w:val="11"/>
        <w:shd w:val="clear" w:color="auto" w:fill="auto"/>
        <w:ind w:firstLine="720"/>
        <w:jc w:val="left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получатель 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является </w:t>
      </w:r>
      <w:r w:rsidR="00DE5953" w:rsidRPr="00215EBE">
        <w:rPr>
          <w:rFonts w:ascii="PT Astra Serif" w:hAnsi="PT Astra Serif"/>
          <w:color w:val="000000" w:themeColor="text1"/>
          <w:lang w:eastAsia="ru-RU" w:bidi="ru-RU"/>
        </w:rPr>
        <w:t>фондом;</w:t>
      </w:r>
    </w:p>
    <w:p w:rsidR="00C708E8" w:rsidRPr="00215EBE" w:rsidRDefault="005B3235" w:rsidP="002034B7">
      <w:pPr>
        <w:pStyle w:val="11"/>
        <w:shd w:val="clear" w:color="auto" w:fill="auto"/>
        <w:ind w:left="720" w:firstLine="0"/>
        <w:jc w:val="lef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lang w:eastAsia="ru-RU" w:bidi="ru-RU"/>
        </w:rPr>
        <w:t xml:space="preserve">сумма активов 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получателя </w:t>
      </w:r>
      <w:r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>превышает 60 миллионов рублей (по состоянию на 31 декабря прош</w:t>
      </w:r>
      <w:r>
        <w:rPr>
          <w:rFonts w:ascii="PT Astra Serif" w:hAnsi="PT Astra Serif"/>
          <w:color w:val="000000" w:themeColor="text1"/>
          <w:lang w:eastAsia="ru-RU" w:bidi="ru-RU"/>
        </w:rPr>
        <w:t xml:space="preserve">лого года); объем выручки 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получателя </w:t>
      </w:r>
      <w:r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>от реализации товаров, работ, услуг за прошлый календарный год превышает 400</w:t>
      </w:r>
      <w:r w:rsidR="002034B7" w:rsidRPr="00215EBE">
        <w:rPr>
          <w:rFonts w:ascii="PT Astra Serif" w:hAnsi="PT Astra Serif"/>
          <w:color w:val="000000" w:themeColor="text1"/>
        </w:rPr>
        <w:t xml:space="preserve"> 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>миллионов рублей;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получатель </w:t>
      </w:r>
      <w:proofErr w:type="spellStart"/>
      <w:r w:rsidR="005B3235">
        <w:rPr>
          <w:rFonts w:ascii="PT Astra Serif" w:hAnsi="PT Astra Serif"/>
          <w:color w:val="000000" w:themeColor="text1"/>
          <w:lang w:eastAsia="ru-RU" w:bidi="ru-RU"/>
        </w:rPr>
        <w:t>гранта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>является</w:t>
      </w:r>
      <w:proofErr w:type="spellEnd"/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 собственником целевого капитала, размер которого (балансовая стоимость имущества) превышает 20 миллионов рублей (по состоянию на 31 декабря прошлого года);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получатель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 гранта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 получает финансирование (доход от целевого капитала) от специализированной организации управления целевым капиталом в размере более 5 миллионов рублей в течение текущего календарного года;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получатель 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>включен в реестр некоммерческих организаций, выполняющих функции иностранного агента.</w:t>
      </w:r>
    </w:p>
    <w:p w:rsidR="00C708E8" w:rsidRPr="00215EBE" w:rsidRDefault="00C708E8" w:rsidP="005B3235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В перечисленных случаях (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исключениях) руководитель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получателя 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>обязан возложить ведение бухгалтерского</w:t>
      </w:r>
      <w:r w:rsidR="005B3235">
        <w:rPr>
          <w:rFonts w:ascii="PT Astra Serif" w:hAnsi="PT Astra Serif"/>
          <w:color w:val="000000" w:themeColor="text1"/>
        </w:rPr>
        <w:t xml:space="preserve">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учета на главного бухгалтера 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или иное должностное лицо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получателя </w:t>
      </w:r>
      <w:r w:rsidR="005B3235">
        <w:rPr>
          <w:rFonts w:ascii="PT Astra Serif" w:hAnsi="PT Astra Serif"/>
          <w:color w:val="000000" w:themeColor="text1"/>
          <w:lang w:eastAsia="ru-RU" w:bidi="ru-RU"/>
        </w:rPr>
        <w:t xml:space="preserve">гранта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t>либо заключить договор об оказании услуг по ведению бухгалтерского учета.</w:t>
      </w:r>
    </w:p>
    <w:p w:rsidR="00C708E8" w:rsidRPr="00215EBE" w:rsidRDefault="005B3235" w:rsidP="00C708E8">
      <w:pPr>
        <w:pStyle w:val="11"/>
        <w:shd w:val="clear" w:color="auto" w:fill="auto"/>
        <w:ind w:left="720" w:firstLine="0"/>
        <w:jc w:val="lef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lang w:eastAsia="ru-RU" w:bidi="ru-RU"/>
        </w:rPr>
        <w:t>П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>олучатель</w:t>
      </w:r>
      <w:r>
        <w:rPr>
          <w:rFonts w:ascii="PT Astra Serif" w:hAnsi="PT Astra Serif"/>
          <w:color w:val="000000" w:themeColor="text1"/>
          <w:lang w:eastAsia="ru-RU" w:bidi="ru-RU"/>
        </w:rPr>
        <w:t xml:space="preserve"> гранта</w:t>
      </w:r>
      <w:r w:rsidR="00C708E8" w:rsidRPr="00215EBE">
        <w:rPr>
          <w:rFonts w:ascii="PT Astra Serif" w:hAnsi="PT Astra Serif"/>
          <w:color w:val="000000" w:themeColor="text1"/>
          <w:lang w:eastAsia="ru-RU" w:bidi="ru-RU"/>
        </w:rPr>
        <w:t>, имеющий право применять упрощенные способы ведения бухгалтерского учета, может: самостоятельно избирать, какие упрощенные способы применять для ведения бухгалтерского учета (вне</w:t>
      </w:r>
    </w:p>
    <w:p w:rsidR="00C708E8" w:rsidRPr="00215EBE" w:rsidRDefault="00C708E8" w:rsidP="00C708E8">
      <w:pPr>
        <w:pStyle w:val="11"/>
        <w:shd w:val="clear" w:color="auto" w:fill="auto"/>
        <w:ind w:firstLine="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 xml:space="preserve">зависимости от применения других упрощенных способов), в том числе исходя из величины организации и требования </w:t>
      </w:r>
      <w:r w:rsidRPr="00215EBE">
        <w:rPr>
          <w:rFonts w:ascii="PT Astra Serif" w:hAnsi="PT Astra Serif"/>
          <w:color w:val="000000" w:themeColor="text1"/>
          <w:lang w:eastAsia="ru-RU" w:bidi="ru-RU"/>
        </w:rPr>
        <w:lastRenderedPageBreak/>
        <w:t>рациональности;</w:t>
      </w:r>
    </w:p>
    <w:p w:rsidR="00C708E8" w:rsidRPr="00215EBE" w:rsidRDefault="00C708E8" w:rsidP="00C708E8">
      <w:pPr>
        <w:pStyle w:val="11"/>
        <w:shd w:val="clear" w:color="auto" w:fill="auto"/>
        <w:ind w:left="720" w:firstLine="0"/>
        <w:jc w:val="left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предусмотреть ведение бухгалтерского учета по простой системе (без применения двойной записи);</w:t>
      </w:r>
    </w:p>
    <w:p w:rsidR="00C708E8" w:rsidRPr="00215EBE" w:rsidRDefault="00C708E8" w:rsidP="00C708E8">
      <w:pPr>
        <w:pStyle w:val="11"/>
        <w:shd w:val="clear" w:color="auto" w:fill="auto"/>
        <w:ind w:left="720" w:firstLine="0"/>
        <w:jc w:val="left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сократить количество синтетических счетов в принимаемом им рабочем плане счетов бухгалтерского учета по</w:t>
      </w:r>
    </w:p>
    <w:p w:rsidR="00C708E8" w:rsidRPr="00215EBE" w:rsidRDefault="00C708E8" w:rsidP="00C708E8">
      <w:pPr>
        <w:pStyle w:val="11"/>
        <w:shd w:val="clear" w:color="auto" w:fill="auto"/>
        <w:ind w:firstLine="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сравнению с Планом счетов бухгалтерского учета финансово-хозяйственной деятельности организаций, утвержденным приказом Минфина России от 31 октября 2000 г. № 94н, в частности, для учета денежных средств в банках может</w:t>
      </w:r>
    </w:p>
    <w:p w:rsidR="00C708E8" w:rsidRPr="00215EBE" w:rsidRDefault="00C708E8" w:rsidP="00C708E8">
      <w:pPr>
        <w:pStyle w:val="11"/>
        <w:shd w:val="clear" w:color="auto" w:fill="auto"/>
        <w:ind w:firstLine="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применяться счет 51 «Расчетные счета» (вместо счетов 51 «Расчетные счета», 52 «Валютные счета», 55 «Специальные</w:t>
      </w:r>
    </w:p>
    <w:p w:rsidR="00C708E8" w:rsidRPr="00215EBE" w:rsidRDefault="00C708E8" w:rsidP="00C708E8">
      <w:pPr>
        <w:pStyle w:val="11"/>
        <w:shd w:val="clear" w:color="auto" w:fill="auto"/>
        <w:ind w:firstLine="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счета в банках», 57 «Переводы в пути»), а для учета дебиторской и кредиторской задолженности - счет 76 «Расчеты с разными дебиторами и кредиторами» (вместо счетов 62 «Расчеты с покупателями и заказчиками», 71 «Расчеты с подотчетными лицами», 73 «Расчеты с персоналом по прочим операциям», 75 «Расчеты с учредителями», 76 «Расчеты с разными дебиторами и кредиторами», 79 «Внутрихозяйственные расчеты»);</w:t>
      </w:r>
    </w:p>
    <w:p w:rsidR="00C708E8" w:rsidRPr="00215EBE" w:rsidRDefault="00C708E8" w:rsidP="00C708E8">
      <w:pPr>
        <w:pStyle w:val="11"/>
        <w:shd w:val="clear" w:color="auto" w:fill="auto"/>
        <w:ind w:left="720" w:firstLine="0"/>
        <w:jc w:val="left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принять упрощенную систему регистров (упрощенную форму) бухгалтерского учета; принять решение об использовании кассового метода учета доходов и расходов; принять решение не проводить переоценку основных средств для целей бухгалтерского учета; принять решение не проводить переоценку нематериальных активов для целей бухгалтерского учета; принять решение не отражать обесценение нематериальных активов в бухгалтерском учете;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не отражать оценочные обязательства, условные обязательства и условные активы в бухгалтерском учете, в том числе не создавать резервы предстоящих расходов (на предстоящую оплату отпусков работникам, выплату вознаграждений по итогам работы за год, гарантийный ремонт и гарантийное обслуживание, др.);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составлять бухгалтерскую отчетность в сокращенном объеме (в том числе без включения в бухгалтерскую отчетность отчета об изменениях капитала и отчета о движении денежных средств);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использовать упрощенные формы бухгалтерского баланса, отчета о финансовых результатах и отчета о целевом использовании средств;</w:t>
      </w:r>
    </w:p>
    <w:p w:rsidR="00C708E8" w:rsidRPr="00215EBE" w:rsidRDefault="00C708E8" w:rsidP="00C708E8">
      <w:pPr>
        <w:pStyle w:val="11"/>
        <w:shd w:val="clear" w:color="auto" w:fill="auto"/>
        <w:ind w:firstLine="720"/>
        <w:rPr>
          <w:rFonts w:ascii="PT Astra Serif" w:hAnsi="PT Astra Serif"/>
          <w:color w:val="000000" w:themeColor="text1"/>
        </w:rPr>
      </w:pPr>
      <w:r w:rsidRPr="00215EBE">
        <w:rPr>
          <w:rFonts w:ascii="PT Astra Serif" w:hAnsi="PT Astra Serif"/>
          <w:color w:val="000000" w:themeColor="text1"/>
          <w:lang w:eastAsia="ru-RU" w:bidi="ru-RU"/>
        </w:rPr>
        <w:t>включать в бухгалтерский баланс, отчет о финансовых результатах, отчет о целевом использовании средств показатели только по группам статей (без детализации показателей по статьям).</w:t>
      </w:r>
    </w:p>
    <w:p w:rsidR="00C708E8" w:rsidRPr="00215EBE" w:rsidRDefault="00C708E8">
      <w:pPr>
        <w:rPr>
          <w:rFonts w:ascii="PT Astra Serif" w:hAnsi="PT Astra Serif"/>
          <w:color w:val="000000" w:themeColor="text1"/>
        </w:rPr>
      </w:pPr>
    </w:p>
    <w:sectPr w:rsidR="00C708E8" w:rsidRPr="00215EBE" w:rsidSect="00A108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BB1"/>
    <w:multiLevelType w:val="hybridMultilevel"/>
    <w:tmpl w:val="C01C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22C"/>
    <w:multiLevelType w:val="hybridMultilevel"/>
    <w:tmpl w:val="8E5A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084B"/>
    <w:multiLevelType w:val="hybridMultilevel"/>
    <w:tmpl w:val="AB1A85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7D8"/>
    <w:multiLevelType w:val="hybridMultilevel"/>
    <w:tmpl w:val="1AAA3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91E"/>
    <w:multiLevelType w:val="hybridMultilevel"/>
    <w:tmpl w:val="49B64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5895"/>
    <w:multiLevelType w:val="multilevel"/>
    <w:tmpl w:val="271E01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575E01"/>
    <w:multiLevelType w:val="hybridMultilevel"/>
    <w:tmpl w:val="432C5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66E6"/>
    <w:multiLevelType w:val="hybridMultilevel"/>
    <w:tmpl w:val="A620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30837"/>
    <w:multiLevelType w:val="hybridMultilevel"/>
    <w:tmpl w:val="9146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842"/>
    <w:multiLevelType w:val="hybridMultilevel"/>
    <w:tmpl w:val="91446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360"/>
    <w:multiLevelType w:val="hybridMultilevel"/>
    <w:tmpl w:val="02A6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40EE0"/>
    <w:multiLevelType w:val="hybridMultilevel"/>
    <w:tmpl w:val="B224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20604"/>
    <w:multiLevelType w:val="hybridMultilevel"/>
    <w:tmpl w:val="E132F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B32CD"/>
    <w:multiLevelType w:val="hybridMultilevel"/>
    <w:tmpl w:val="5A26D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F1A4E"/>
    <w:multiLevelType w:val="hybridMultilevel"/>
    <w:tmpl w:val="C7E8A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7D3F"/>
    <w:multiLevelType w:val="hybridMultilevel"/>
    <w:tmpl w:val="6B68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86379"/>
    <w:multiLevelType w:val="hybridMultilevel"/>
    <w:tmpl w:val="B21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7F30"/>
    <w:multiLevelType w:val="hybridMultilevel"/>
    <w:tmpl w:val="66AA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65F2"/>
    <w:multiLevelType w:val="hybridMultilevel"/>
    <w:tmpl w:val="8766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25933"/>
    <w:multiLevelType w:val="hybridMultilevel"/>
    <w:tmpl w:val="921E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4EEC"/>
    <w:multiLevelType w:val="hybridMultilevel"/>
    <w:tmpl w:val="E5F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37D0A"/>
    <w:multiLevelType w:val="multilevel"/>
    <w:tmpl w:val="6346E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1C162D"/>
    <w:multiLevelType w:val="hybridMultilevel"/>
    <w:tmpl w:val="BFF0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47D76"/>
    <w:multiLevelType w:val="hybridMultilevel"/>
    <w:tmpl w:val="C18C9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713B"/>
    <w:multiLevelType w:val="hybridMultilevel"/>
    <w:tmpl w:val="50122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231B"/>
    <w:multiLevelType w:val="hybridMultilevel"/>
    <w:tmpl w:val="062E6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80BF3"/>
    <w:multiLevelType w:val="hybridMultilevel"/>
    <w:tmpl w:val="3522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01023"/>
    <w:multiLevelType w:val="hybridMultilevel"/>
    <w:tmpl w:val="6536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86367"/>
    <w:multiLevelType w:val="hybridMultilevel"/>
    <w:tmpl w:val="5CE6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20"/>
  </w:num>
  <w:num w:numId="5">
    <w:abstractNumId w:val="9"/>
  </w:num>
  <w:num w:numId="6">
    <w:abstractNumId w:val="17"/>
  </w:num>
  <w:num w:numId="7">
    <w:abstractNumId w:val="4"/>
  </w:num>
  <w:num w:numId="8">
    <w:abstractNumId w:val="12"/>
  </w:num>
  <w:num w:numId="9">
    <w:abstractNumId w:val="24"/>
  </w:num>
  <w:num w:numId="10">
    <w:abstractNumId w:val="10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11"/>
  </w:num>
  <w:num w:numId="16">
    <w:abstractNumId w:val="26"/>
  </w:num>
  <w:num w:numId="17">
    <w:abstractNumId w:val="27"/>
  </w:num>
  <w:num w:numId="18">
    <w:abstractNumId w:val="28"/>
  </w:num>
  <w:num w:numId="19">
    <w:abstractNumId w:val="7"/>
  </w:num>
  <w:num w:numId="20">
    <w:abstractNumId w:val="22"/>
  </w:num>
  <w:num w:numId="21">
    <w:abstractNumId w:val="15"/>
  </w:num>
  <w:num w:numId="22">
    <w:abstractNumId w:val="0"/>
  </w:num>
  <w:num w:numId="23">
    <w:abstractNumId w:val="19"/>
  </w:num>
  <w:num w:numId="24">
    <w:abstractNumId w:val="6"/>
  </w:num>
  <w:num w:numId="25">
    <w:abstractNumId w:val="16"/>
  </w:num>
  <w:num w:numId="26">
    <w:abstractNumId w:val="23"/>
  </w:num>
  <w:num w:numId="27">
    <w:abstractNumId w:val="2"/>
  </w:num>
  <w:num w:numId="28">
    <w:abstractNumId w:val="25"/>
  </w:num>
  <w:num w:numId="2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FD"/>
    <w:rsid w:val="001629EF"/>
    <w:rsid w:val="002034B7"/>
    <w:rsid w:val="00215EBE"/>
    <w:rsid w:val="00221838"/>
    <w:rsid w:val="003254EF"/>
    <w:rsid w:val="003734F0"/>
    <w:rsid w:val="00390670"/>
    <w:rsid w:val="004167FD"/>
    <w:rsid w:val="00445A45"/>
    <w:rsid w:val="004B525F"/>
    <w:rsid w:val="004E6E1F"/>
    <w:rsid w:val="005B3235"/>
    <w:rsid w:val="006D4045"/>
    <w:rsid w:val="00712C8E"/>
    <w:rsid w:val="0071748B"/>
    <w:rsid w:val="00784D0C"/>
    <w:rsid w:val="008413C1"/>
    <w:rsid w:val="008610AF"/>
    <w:rsid w:val="009219A7"/>
    <w:rsid w:val="00927526"/>
    <w:rsid w:val="009D29C0"/>
    <w:rsid w:val="00A10896"/>
    <w:rsid w:val="00BE0DAB"/>
    <w:rsid w:val="00C708E8"/>
    <w:rsid w:val="00CE2269"/>
    <w:rsid w:val="00D25F80"/>
    <w:rsid w:val="00D4699B"/>
    <w:rsid w:val="00DE5953"/>
    <w:rsid w:val="00E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79BB7-D1C6-4A46-B9D7-9977365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108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A108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10896"/>
    <w:pPr>
      <w:widowControl w:val="0"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A1089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A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A108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A1089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1089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10896"/>
    <w:rPr>
      <w:rFonts w:ascii="Times New Roman" w:eastAsia="Times New Roman" w:hAnsi="Times New Roman" w:cs="Times New Roman"/>
      <w:color w:val="2F2F2F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0896"/>
    <w:pPr>
      <w:widowControl w:val="0"/>
      <w:shd w:val="clear" w:color="auto" w:fill="FFFFFF"/>
      <w:spacing w:after="0" w:line="240" w:lineRule="auto"/>
      <w:ind w:firstLine="580"/>
      <w:jc w:val="both"/>
    </w:pPr>
    <w:rPr>
      <w:rFonts w:ascii="Times New Roman" w:eastAsia="Times New Roman" w:hAnsi="Times New Roman" w:cs="Times New Roman"/>
      <w:color w:val="2F2F2F"/>
    </w:rPr>
  </w:style>
  <w:style w:type="paragraph" w:customStyle="1" w:styleId="ConsPlusNormal">
    <w:name w:val="ConsPlusNormal"/>
    <w:link w:val="ConsPlusNormal0"/>
    <w:qFormat/>
    <w:rsid w:val="008413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13C1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4503</Words>
  <Characters>25671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Хапова Дарья Александровна</dc:creator>
  <cp:keywords/>
  <dc:description/>
  <cp:lastModifiedBy>Шмелева Елена Владимировна</cp:lastModifiedBy>
  <cp:revision>2</cp:revision>
  <dcterms:created xsi:type="dcterms:W3CDTF">2021-07-08T16:40:00Z</dcterms:created>
  <dcterms:modified xsi:type="dcterms:W3CDTF">2021-07-08T16:40:00Z</dcterms:modified>
</cp:coreProperties>
</file>